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859B4" w14:textId="63EE0B33" w:rsidR="00841BBF" w:rsidRPr="00180539" w:rsidRDefault="00841BBF" w:rsidP="00C1691E">
      <w:pPr>
        <w:pStyle w:val="TtulodaResoluo"/>
      </w:pPr>
      <w:bookmarkStart w:id="0" w:name="_GoBack"/>
      <w:bookmarkEnd w:id="0"/>
      <w:r w:rsidRPr="00180539">
        <w:t xml:space="preserve">Resolução CVM nº </w:t>
      </w:r>
      <w:r w:rsidR="00810486">
        <w:t>181</w:t>
      </w:r>
      <w:r w:rsidR="00F85C5E" w:rsidRPr="00180539">
        <w:t xml:space="preserve">, </w:t>
      </w:r>
      <w:r w:rsidR="00D5218B" w:rsidRPr="00180539">
        <w:t xml:space="preserve">de </w:t>
      </w:r>
      <w:r w:rsidR="00810486">
        <w:t>28</w:t>
      </w:r>
      <w:r w:rsidR="00D5218B" w:rsidRPr="00180539">
        <w:t xml:space="preserve"> de </w:t>
      </w:r>
      <w:r w:rsidR="004D737B">
        <w:t>MARÇO</w:t>
      </w:r>
      <w:r w:rsidR="00D5218B" w:rsidRPr="00180539">
        <w:t xml:space="preserve"> de </w:t>
      </w:r>
      <w:r w:rsidR="00956AB0">
        <w:t>202</w:t>
      </w:r>
      <w:r w:rsidR="004D737B">
        <w:t>3</w:t>
      </w:r>
    </w:p>
    <w:p w14:paraId="7CC620BC" w14:textId="60758635" w:rsidR="00841BBF" w:rsidRPr="00180539" w:rsidRDefault="00873261" w:rsidP="0010471A">
      <w:pPr>
        <w:pStyle w:val="Ementa"/>
        <w:spacing w:before="360" w:after="360"/>
      </w:pPr>
      <w:r>
        <w:t>Altera a Resolução CVM nº 175, de 23 de dezembro de 2022</w:t>
      </w:r>
      <w:r w:rsidR="00956AB0" w:rsidRPr="000E46A2">
        <w:t>.</w:t>
      </w:r>
    </w:p>
    <w:p w14:paraId="57E2BE09" w14:textId="1CC57711" w:rsidR="006E1797" w:rsidRPr="00180539" w:rsidRDefault="006E1797" w:rsidP="00ED1FB4">
      <w:r w:rsidRPr="00180539">
        <w:t xml:space="preserve">O </w:t>
      </w:r>
      <w:r w:rsidR="00894689" w:rsidRPr="00180539">
        <w:rPr>
          <w:b/>
        </w:rPr>
        <w:t>PRESIDENTE DA COMISSÃO DE VALORES MOBILIÁRIOS – CVM</w:t>
      </w:r>
      <w:r w:rsidR="00894689" w:rsidRPr="00180539">
        <w:t xml:space="preserve"> torna público que o Colegiado, em reunião realizada </w:t>
      </w:r>
      <w:r w:rsidR="003B5930">
        <w:t>nesta data</w:t>
      </w:r>
      <w:r w:rsidR="00F85C5E" w:rsidRPr="00180539">
        <w:t xml:space="preserve">, </w:t>
      </w:r>
      <w:r w:rsidR="00894689" w:rsidRPr="00180539">
        <w:t xml:space="preserve">com fundamento no disposto nos </w:t>
      </w:r>
      <w:r w:rsidR="00873261" w:rsidRPr="0097459F">
        <w:t>arts. 2º, inciso V, 8º, inciso I, 19 e 23, § 2º, da Lei nº 6.385, de 7 de dezembro de</w:t>
      </w:r>
      <w:r w:rsidR="00873261">
        <w:t xml:space="preserve"> 1976</w:t>
      </w:r>
      <w:r w:rsidR="00894689" w:rsidRPr="00180539">
        <w:t>,</w:t>
      </w:r>
      <w:r w:rsidR="00873261" w:rsidRPr="0097459F">
        <w:t xml:space="preserve"> n</w:t>
      </w:r>
      <w:r w:rsidR="00873261" w:rsidRPr="0097459F">
        <w:rPr>
          <w:shd w:val="clear" w:color="auto" w:fill="FFFFFF"/>
        </w:rPr>
        <w:t>a Lei nº 8.167, de 16 de janeiro de 1991, n</w:t>
      </w:r>
      <w:r w:rsidR="00873261" w:rsidRPr="0097459F">
        <w:t xml:space="preserve">a Lei nº 8.313, de 23 de dezembro de 1991, na Lei nº 8.668, de 25 de junho de 1993, na Lei nº 9.491, de 9 de setembro de 1997, na Lei nº 9.635, de 15 de maio de 1998, na Medida Provisória no 2.228-1, de 6 de setembro de 2001, nos arts. 1.368-C a 1.368-F da Lei nº 10.406, de 10 de janeiro de 2002, na </w:t>
      </w:r>
      <w:r w:rsidR="00873261" w:rsidRPr="0097459F">
        <w:rPr>
          <w:shd w:val="clear" w:color="auto" w:fill="FFFFFF"/>
        </w:rPr>
        <w:t xml:space="preserve">Lei nº 10.735, de 11 de setembro de 2003, </w:t>
      </w:r>
      <w:r w:rsidR="00873261" w:rsidRPr="0097459F">
        <w:t>na Lei nº 10.973, de 2 de dezembro de 2004, na Lei nº 11.196, de 21 de novembro de 2005, na Lei nº 11.478, de 29 de maio de 2007, na Lei nº 12.431, de 24 de junho de 2011, na Resolução CMN nº 1.787, de 1º de fevereiro de 1991, na Resolução CMN nº 2.424, de 1º de outubro de 1997, e na Resolução CMN nº 2.907, de 29 de novembro de 2001</w:t>
      </w:r>
      <w:r w:rsidR="00873261">
        <w:t xml:space="preserve">, </w:t>
      </w:r>
      <w:r w:rsidR="00697BF1">
        <w:rPr>
          <w:b/>
        </w:rPr>
        <w:t>APROVOU</w:t>
      </w:r>
      <w:r w:rsidR="00894689" w:rsidRPr="00180539">
        <w:t xml:space="preserve"> a seguinte Resolução:</w:t>
      </w:r>
    </w:p>
    <w:p w14:paraId="2596BB4E" w14:textId="5C953F83" w:rsidR="00873261" w:rsidRDefault="00873261" w:rsidP="00873261">
      <w:r>
        <w:t xml:space="preserve">Art. 1º  A </w:t>
      </w:r>
      <w:r w:rsidR="00577A23">
        <w:t xml:space="preserve">parte geral da </w:t>
      </w:r>
      <w:r>
        <w:t>Resolução CVM nº 175, de 23 de dezembro de 202</w:t>
      </w:r>
      <w:r w:rsidR="00335430">
        <w:t>2</w:t>
      </w:r>
      <w:r>
        <w:t>, passa a vigorar com a seguinte redação:</w:t>
      </w:r>
    </w:p>
    <w:p w14:paraId="56E0479D" w14:textId="08511DB3" w:rsidR="00E76A97" w:rsidRDefault="00E76A97" w:rsidP="00122A91">
      <w:pPr>
        <w:pStyle w:val="NormaAlterada"/>
      </w:pPr>
      <w:r>
        <w:t>“Art. 48.  ...........................................................</w:t>
      </w:r>
    </w:p>
    <w:p w14:paraId="2AED00D2" w14:textId="39E9A45A" w:rsidR="00E76A97" w:rsidRDefault="00E76A97" w:rsidP="00122A91">
      <w:pPr>
        <w:pStyle w:val="NormaAlterada"/>
      </w:pPr>
      <w:r>
        <w:t>§ 1º  ..................................................................</w:t>
      </w:r>
    </w:p>
    <w:p w14:paraId="7966BCB2" w14:textId="140BD8E4" w:rsidR="00E76A97" w:rsidRDefault="00E76A97" w:rsidP="00122A91">
      <w:pPr>
        <w:pStyle w:val="NormaAlterada"/>
      </w:pPr>
      <w:r w:rsidRPr="0097459F">
        <w:t>VI – prazo de duração, que pode ser indeterminado;</w:t>
      </w:r>
      <w:r>
        <w:t xml:space="preserve"> e</w:t>
      </w:r>
    </w:p>
    <w:p w14:paraId="3C46F64A" w14:textId="58B17CDE" w:rsidR="00E76A97" w:rsidRDefault="00E76A97" w:rsidP="00122A91">
      <w:pPr>
        <w:pStyle w:val="NormaAlterada"/>
      </w:pPr>
      <w:r>
        <w:t>..........................................................................</w:t>
      </w:r>
    </w:p>
    <w:p w14:paraId="6868152B" w14:textId="294B2954" w:rsidR="00E76A97" w:rsidRDefault="00E76A97" w:rsidP="00122A91">
      <w:pPr>
        <w:pStyle w:val="NormaAlterada"/>
        <w:rPr>
          <w:rFonts w:cstheme="minorHAnsi"/>
        </w:rPr>
      </w:pPr>
      <w:bookmarkStart w:id="1" w:name="_Hlk42692273"/>
      <w:r>
        <w:rPr>
          <w:rFonts w:cstheme="minorHAnsi"/>
        </w:rPr>
        <w:t>§ 2º  ..................................................................</w:t>
      </w:r>
    </w:p>
    <w:p w14:paraId="149D5A0C" w14:textId="28E154D6" w:rsidR="00E76A97" w:rsidRPr="0097459F" w:rsidRDefault="00E76A97" w:rsidP="00122A91">
      <w:pPr>
        <w:pStyle w:val="NormaAlterada"/>
        <w:rPr>
          <w:rFonts w:cstheme="minorHAnsi"/>
        </w:rPr>
      </w:pPr>
      <w:r w:rsidRPr="0097459F">
        <w:rPr>
          <w:rFonts w:cstheme="minorHAnsi"/>
        </w:rPr>
        <w:t>XVII – os eventos que obrigam o administrador a verificar se o patrimônio líquido da classe está negativo;</w:t>
      </w:r>
      <w:bookmarkEnd w:id="1"/>
    </w:p>
    <w:p w14:paraId="7394471D" w14:textId="77777777" w:rsidR="00E76A97" w:rsidRDefault="00E76A97" w:rsidP="00122A91">
      <w:pPr>
        <w:pStyle w:val="NormaAlterada"/>
        <w:rPr>
          <w:rFonts w:cstheme="minorHAnsi"/>
        </w:rPr>
      </w:pPr>
      <w:r w:rsidRPr="0097459F">
        <w:rPr>
          <w:rFonts w:cstheme="minorHAnsi"/>
        </w:rPr>
        <w:t>XVIII – os procedimentos aplicáveis à liquidação da classe, o que pode incluir hipóteses de liquidação antecipada</w:t>
      </w:r>
      <w:r>
        <w:rPr>
          <w:rFonts w:cstheme="minorHAnsi"/>
        </w:rPr>
        <w:t>; e</w:t>
      </w:r>
    </w:p>
    <w:p w14:paraId="1A790BB0" w14:textId="77777777" w:rsidR="00E76A97" w:rsidRPr="0097459F" w:rsidRDefault="00E76A97" w:rsidP="00122A91">
      <w:pPr>
        <w:pStyle w:val="NormaAlterada"/>
      </w:pPr>
      <w:r>
        <w:rPr>
          <w:rFonts w:cstheme="minorHAnsi"/>
        </w:rPr>
        <w:t>XIX</w:t>
      </w:r>
      <w:r w:rsidRPr="0097459F">
        <w:t xml:space="preserve"> – taxas de administração e de gestão, que devem ser expressas em:</w:t>
      </w:r>
    </w:p>
    <w:p w14:paraId="30C224FF" w14:textId="77777777" w:rsidR="00E76A97" w:rsidRPr="0097459F" w:rsidRDefault="00E76A97" w:rsidP="00122A91">
      <w:pPr>
        <w:pStyle w:val="NormaAlterada"/>
        <w:rPr>
          <w:rFonts w:cstheme="minorHAnsi"/>
        </w:rPr>
      </w:pPr>
      <w:r w:rsidRPr="0097459F">
        <w:rPr>
          <w:rFonts w:cstheme="minorHAnsi"/>
        </w:rPr>
        <w:t>a) um percentual anual fixo do patrimônio líquido (base 252 dias); ou</w:t>
      </w:r>
    </w:p>
    <w:p w14:paraId="23121E1C" w14:textId="77777777" w:rsidR="00E76A97" w:rsidRPr="0097459F" w:rsidRDefault="00E76A97" w:rsidP="00122A91">
      <w:pPr>
        <w:pStyle w:val="NormaAlterada"/>
      </w:pPr>
      <w:r w:rsidRPr="0097459F">
        <w:rPr>
          <w:rFonts w:cstheme="minorHAnsi"/>
        </w:rPr>
        <w:lastRenderedPageBreak/>
        <w:t>b) um valor nominal em moeda corrente nacional, que pode variar em função de faixas d</w:t>
      </w:r>
      <w:r>
        <w:rPr>
          <w:rFonts w:cstheme="minorHAnsi"/>
        </w:rPr>
        <w:t>e valores do patrimônio líquido.</w:t>
      </w:r>
    </w:p>
    <w:p w14:paraId="2C102817" w14:textId="72ED13D5" w:rsidR="00E76A97" w:rsidRDefault="00E76A97" w:rsidP="00122A91">
      <w:pPr>
        <w:pStyle w:val="NormaAlterada"/>
      </w:pPr>
      <w:r>
        <w:t>..........................................................................</w:t>
      </w:r>
    </w:p>
    <w:p w14:paraId="422B17E9" w14:textId="5A2E115F" w:rsidR="00E76A97" w:rsidRPr="0097459F" w:rsidRDefault="00E76A97" w:rsidP="00122A91">
      <w:pPr>
        <w:pStyle w:val="NormaAlterada"/>
        <w:rPr>
          <w:rFonts w:cstheme="minorHAnsi"/>
        </w:rPr>
      </w:pPr>
      <w:r>
        <w:rPr>
          <w:rFonts w:cstheme="minorHAnsi"/>
        </w:rPr>
        <w:t xml:space="preserve">§ 4º  </w:t>
      </w:r>
      <w:r>
        <w:rPr>
          <w:rStyle w:val="ui-provider"/>
          <w:rFonts w:eastAsiaTheme="majorEastAsia"/>
        </w:rPr>
        <w:t xml:space="preserve">Caso a classe de cotas conte com subclasses que possuam diferentes taxas de administração </w:t>
      </w:r>
      <w:r w:rsidR="00A5384C">
        <w:rPr>
          <w:rStyle w:val="ui-provider"/>
          <w:rFonts w:eastAsiaTheme="majorEastAsia"/>
        </w:rPr>
        <w:t>e</w:t>
      </w:r>
      <w:r>
        <w:rPr>
          <w:rStyle w:val="ui-provider"/>
          <w:rFonts w:eastAsiaTheme="majorEastAsia"/>
        </w:rPr>
        <w:t xml:space="preserve"> gestão, essas taxas devem ser disciplinadas no apêndice descritivo das subclasses.</w:t>
      </w:r>
      <w:r w:rsidR="00A34205">
        <w:rPr>
          <w:rStyle w:val="ui-provider"/>
          <w:rFonts w:eastAsiaTheme="majorEastAsia"/>
        </w:rPr>
        <w:t>”(NR)</w:t>
      </w:r>
    </w:p>
    <w:p w14:paraId="450FB9E0" w14:textId="59BC59F4" w:rsidR="00175F10" w:rsidRPr="0097459F" w:rsidRDefault="00175F10" w:rsidP="00175F10">
      <w:pPr>
        <w:pStyle w:val="NormaAlterada"/>
        <w:rPr>
          <w:rFonts w:cstheme="minorHAnsi"/>
        </w:rPr>
      </w:pPr>
      <w:r>
        <w:t xml:space="preserve">“Art. 73.  </w:t>
      </w:r>
      <w:r w:rsidRPr="0097459F">
        <w:rPr>
          <w:rFonts w:cstheme="minorHAnsi"/>
        </w:rPr>
        <w:t xml:space="preserve">Os prestadores de serviços essenciais, </w:t>
      </w:r>
      <w:r>
        <w:rPr>
          <w:rFonts w:cstheme="minorHAnsi"/>
        </w:rPr>
        <w:t xml:space="preserve">o custodiante, </w:t>
      </w:r>
      <w:r w:rsidRPr="0097459F">
        <w:rPr>
          <w:rFonts w:cstheme="minorHAnsi"/>
        </w:rPr>
        <w:t xml:space="preserve">o cotista ou grupo de cotistas que detenha, no mínimo, 5% (cinco por </w:t>
      </w:r>
      <w:r w:rsidRPr="00175F10">
        <w:rPr>
          <w:rStyle w:val="ui-provider"/>
          <w:rFonts w:eastAsiaTheme="majorEastAsia"/>
        </w:rPr>
        <w:t>cento</w:t>
      </w:r>
      <w:r w:rsidRPr="0097459F">
        <w:rPr>
          <w:rFonts w:cstheme="minorHAnsi"/>
        </w:rPr>
        <w:t>) do total de cotas emitidas, podem convocar, a qualquer tempo, assembleia de cotistas para deliberar sobre ordem do dia de interesse do fundo, da classe ou da comunhão de cotistas.</w:t>
      </w:r>
    </w:p>
    <w:p w14:paraId="179DB427" w14:textId="408C450D" w:rsidR="00175F10" w:rsidRDefault="00175F10" w:rsidP="00122A91">
      <w:pPr>
        <w:pStyle w:val="NormaAlterada"/>
      </w:pPr>
      <w:r>
        <w:t>..........................................................................”(NR)</w:t>
      </w:r>
    </w:p>
    <w:p w14:paraId="490C398F" w14:textId="4C16894A" w:rsidR="00723877" w:rsidRDefault="007F57B5" w:rsidP="00122A91">
      <w:pPr>
        <w:pStyle w:val="NormaAlterada"/>
      </w:pPr>
      <w:r>
        <w:t>“Art. 117.  .........................................................</w:t>
      </w:r>
    </w:p>
    <w:p w14:paraId="2BE7634E" w14:textId="0827CEFE" w:rsidR="00723877" w:rsidRPr="007F57B5" w:rsidRDefault="007F57B5" w:rsidP="00122A91">
      <w:pPr>
        <w:pStyle w:val="NormaAlterada"/>
      </w:pPr>
      <w:r w:rsidRPr="007F57B5">
        <w:t>..........................................................................</w:t>
      </w:r>
    </w:p>
    <w:p w14:paraId="16B2B7CA" w14:textId="1EC74319" w:rsidR="007F57B5" w:rsidRPr="007F57B5" w:rsidRDefault="007F57B5" w:rsidP="00122A91">
      <w:pPr>
        <w:pStyle w:val="NormaAlterada"/>
      </w:pPr>
      <w:r w:rsidRPr="007F57B5">
        <w:t>XVIII – taxa máxima de distribuição;</w:t>
      </w:r>
    </w:p>
    <w:p w14:paraId="6141908E" w14:textId="2AE83ADC" w:rsidR="007F57B5" w:rsidRDefault="007F57B5" w:rsidP="00122A91">
      <w:pPr>
        <w:pStyle w:val="NormaAlterada"/>
      </w:pPr>
      <w:r w:rsidRPr="0097459F">
        <w:t>XIX – despesas relacionadas ao serviço</w:t>
      </w:r>
      <w:r w:rsidR="00F56E91">
        <w:t xml:space="preserve"> de formação de mercado;</w:t>
      </w:r>
    </w:p>
    <w:p w14:paraId="490EA68A" w14:textId="281572BD" w:rsidR="007F57B5" w:rsidRDefault="007F57B5" w:rsidP="00122A91">
      <w:pPr>
        <w:pStyle w:val="NormaAlterada"/>
        <w:rPr>
          <w:rStyle w:val="normaltextrun"/>
          <w:color w:val="000000"/>
          <w:bdr w:val="none" w:sz="0" w:space="0" w:color="auto" w:frame="1"/>
        </w:rPr>
      </w:pPr>
      <w:r>
        <w:t xml:space="preserve">XX – </w:t>
      </w:r>
      <w:r w:rsidR="00157E8E">
        <w:t xml:space="preserve">despesas decorrentes de empréstimos contraídos </w:t>
      </w:r>
      <w:r w:rsidR="00F56E91">
        <w:rPr>
          <w:rStyle w:val="normaltextrun"/>
          <w:color w:val="000000"/>
          <w:bdr w:val="none" w:sz="0" w:space="0" w:color="auto" w:frame="1"/>
        </w:rPr>
        <w:t>em nome da classe de cotas</w:t>
      </w:r>
      <w:r w:rsidR="00157E8E">
        <w:rPr>
          <w:rStyle w:val="normaltextrun"/>
          <w:color w:val="000000"/>
          <w:bdr w:val="none" w:sz="0" w:space="0" w:color="auto" w:frame="1"/>
        </w:rPr>
        <w:t>,</w:t>
      </w:r>
      <w:r w:rsidR="00157E8E" w:rsidRPr="00157E8E">
        <w:t xml:space="preserve"> </w:t>
      </w:r>
      <w:r w:rsidR="00157E8E">
        <w:t>desde que de acordo com as hipóteses previstas nesta Resolução</w:t>
      </w:r>
      <w:r w:rsidR="00F56E91">
        <w:rPr>
          <w:rStyle w:val="normaltextrun"/>
          <w:color w:val="000000"/>
          <w:bdr w:val="none" w:sz="0" w:space="0" w:color="auto" w:frame="1"/>
        </w:rPr>
        <w:t>; e</w:t>
      </w:r>
    </w:p>
    <w:p w14:paraId="09513905" w14:textId="64B89607" w:rsidR="00F56E91" w:rsidRDefault="00F56E91" w:rsidP="00122A91">
      <w:pPr>
        <w:pStyle w:val="NormaAlterada"/>
        <w:rPr>
          <w:rStyle w:val="normaltextrun"/>
          <w:color w:val="000000"/>
          <w:bdr w:val="none" w:sz="0" w:space="0" w:color="auto" w:frame="1"/>
        </w:rPr>
      </w:pPr>
      <w:r>
        <w:t>XXI –</w:t>
      </w:r>
      <w:r>
        <w:rPr>
          <w:rStyle w:val="normaltextrun"/>
          <w:color w:val="000000"/>
          <w:bdr w:val="none" w:sz="0" w:space="0" w:color="auto" w:frame="1"/>
        </w:rPr>
        <w:t xml:space="preserve"> </w:t>
      </w:r>
      <w:r w:rsidR="00157E8E">
        <w:rPr>
          <w:rStyle w:val="ui-provider"/>
        </w:rPr>
        <w:t>contratação</w:t>
      </w:r>
      <w:r>
        <w:rPr>
          <w:rStyle w:val="ui-provider"/>
        </w:rPr>
        <w:t xml:space="preserve"> da agência de classificação de risco de crédito.</w:t>
      </w:r>
    </w:p>
    <w:p w14:paraId="7C5CF00B" w14:textId="6B56AE84" w:rsidR="007F57B5" w:rsidRPr="0097459F" w:rsidRDefault="007F57B5" w:rsidP="00122A91">
      <w:pPr>
        <w:pStyle w:val="NormaAlterada"/>
      </w:pPr>
      <w:r>
        <w:t>..........................................................................”(NR)</w:t>
      </w:r>
    </w:p>
    <w:p w14:paraId="41A68FAF" w14:textId="578C8CB6" w:rsidR="00A34205" w:rsidRDefault="00A34205" w:rsidP="00122A91">
      <w:pPr>
        <w:pStyle w:val="NormaAlterada"/>
      </w:pPr>
      <w:r>
        <w:t xml:space="preserve">“Art. 134. Os fundos de investimento que estejam em funcionamento na data de início da vigência da norma devem adaptar-se integralmente às disposições desta Resolução até 31 de dezembro de 2024, com exceção dos fundos de investimento em direitos creditórios - FIDC, que devem adaptar-se até </w:t>
      </w:r>
      <w:r w:rsidRPr="00A34205">
        <w:t>1º de abril de 2024</w:t>
      </w:r>
      <w:r>
        <w:t>.</w:t>
      </w:r>
    </w:p>
    <w:p w14:paraId="08E31BCA" w14:textId="471FB398" w:rsidR="00A34205" w:rsidRDefault="00A34205" w:rsidP="00122A91">
      <w:pPr>
        <w:pStyle w:val="NormaAlterada"/>
      </w:pPr>
      <w:r>
        <w:t>..........................................................................”(NR)</w:t>
      </w:r>
    </w:p>
    <w:p w14:paraId="77858802" w14:textId="22A2265D" w:rsidR="00723877" w:rsidRDefault="00873261" w:rsidP="00122A91">
      <w:pPr>
        <w:pStyle w:val="NormaAlterada"/>
      </w:pPr>
      <w:r>
        <w:t>“Art. 1</w:t>
      </w:r>
      <w:r w:rsidR="00723877">
        <w:t>40.</w:t>
      </w:r>
      <w:r>
        <w:t xml:space="preserve">  </w:t>
      </w:r>
      <w:r w:rsidR="00723877" w:rsidRPr="0097459F">
        <w:t xml:space="preserve">Esta Resolução entra em vigor em </w:t>
      </w:r>
      <w:r w:rsidR="00723877">
        <w:t>2 de outubro</w:t>
      </w:r>
      <w:r w:rsidR="00723877" w:rsidRPr="0097459F">
        <w:t xml:space="preserve"> de 2023.</w:t>
      </w:r>
    </w:p>
    <w:p w14:paraId="12C1EA25" w14:textId="796E4B7A" w:rsidR="003C3B20" w:rsidRPr="0097459F" w:rsidRDefault="003C3B20" w:rsidP="00122A91">
      <w:pPr>
        <w:pStyle w:val="NormaAlterada"/>
      </w:pPr>
      <w:r w:rsidRPr="0097459F">
        <w:t>§ 1º  O art. 48, § 2º, inciso X</w:t>
      </w:r>
      <w:r>
        <w:t>I</w:t>
      </w:r>
      <w:r w:rsidRPr="0097459F">
        <w:t xml:space="preserve"> desta Resolução, referente ao estabelecimento da taxa máxima de distribuição no regulamento, bem como os demais comandos relacionados à referida taxa, entram em vigor em </w:t>
      </w:r>
      <w:r>
        <w:t>1º de abril de 2024</w:t>
      </w:r>
      <w:r w:rsidRPr="0097459F">
        <w:t>.</w:t>
      </w:r>
    </w:p>
    <w:p w14:paraId="31A02BC5" w14:textId="796E4B7A" w:rsidR="00A5384C" w:rsidRDefault="00A579DF" w:rsidP="00122A91">
      <w:pPr>
        <w:pStyle w:val="NormaAlterada"/>
      </w:pPr>
      <w:r>
        <w:lastRenderedPageBreak/>
        <w:t>...........................................................................</w:t>
      </w:r>
    </w:p>
    <w:p w14:paraId="55F10800" w14:textId="465D8667" w:rsidR="00275916" w:rsidRDefault="00A5384C" w:rsidP="00122A91">
      <w:pPr>
        <w:pStyle w:val="NormaAlterada"/>
      </w:pPr>
      <w:r>
        <w:t xml:space="preserve">§ 4º  </w:t>
      </w:r>
      <w:r w:rsidRPr="00A5384C">
        <w:t xml:space="preserve">O art. 99 desta Resolução, referente à existência de acordo de remuneração com base na taxa </w:t>
      </w:r>
      <w:r w:rsidR="00027811" w:rsidRPr="00027811">
        <w:t>de administração, performance ou gestão, entra em vigor em 1º de abril de 2024.</w:t>
      </w:r>
    </w:p>
    <w:p w14:paraId="0BBABCEA" w14:textId="0D8FE6D0" w:rsidR="00122A91" w:rsidRDefault="00122A91" w:rsidP="00122A91">
      <w:r>
        <w:t>Art. 2º  O Anexo Normativo I da Resolução CVM nº 175, de 202</w:t>
      </w:r>
      <w:r w:rsidR="00335430">
        <w:t>2</w:t>
      </w:r>
      <w:r>
        <w:t>, passa a vigorar com a seguinte redação:</w:t>
      </w:r>
    </w:p>
    <w:p w14:paraId="564BCB99" w14:textId="0F9089D6" w:rsidR="001342DA" w:rsidRPr="0097459F" w:rsidRDefault="001342DA" w:rsidP="001342DA">
      <w:pPr>
        <w:pStyle w:val="NormaAlterada"/>
      </w:pPr>
      <w:r w:rsidRPr="001B7C22">
        <w:t>“Art. 12</w:t>
      </w:r>
      <w:r w:rsidRPr="00325737">
        <w:t>.  Caso a responsabilidade dos cotistas não esteja limitada ao valor por eles subscrito e a política de investimento admita a possibilidade de exposição a risco de capital, o cotista deve atestar que possui ciência dos riscos derivados de sua responsabilidade ilimitada no termo de adesão.</w:t>
      </w:r>
      <w:r w:rsidR="006C4BDE" w:rsidRPr="00325737">
        <w:t>”(NR)</w:t>
      </w:r>
    </w:p>
    <w:p w14:paraId="638A7E82" w14:textId="1AA262D5" w:rsidR="006C4BDE" w:rsidRDefault="006C4BDE" w:rsidP="00122A91">
      <w:pPr>
        <w:pStyle w:val="NormaAlterada"/>
      </w:pPr>
      <w:r>
        <w:t>“Art. 15.  ...........................................................</w:t>
      </w:r>
    </w:p>
    <w:p w14:paraId="62B63628" w14:textId="7B503DAB" w:rsidR="006C4BDE" w:rsidRDefault="006C4BDE" w:rsidP="00122A91">
      <w:pPr>
        <w:pStyle w:val="NormaAlterada"/>
      </w:pPr>
      <w:r w:rsidRPr="2044FF0F">
        <w:t xml:space="preserve">Parágrafo único.  </w:t>
      </w:r>
      <w:r w:rsidRPr="006C4BDE">
        <w:t xml:space="preserve">Caso o fundo conte com diferentes classes de cotas, as matérias previstas nos incisos do </w:t>
      </w:r>
      <w:r w:rsidRPr="006C4BDE">
        <w:rPr>
          <w:b/>
        </w:rPr>
        <w:t>caput</w:t>
      </w:r>
      <w:r w:rsidRPr="006C4BDE">
        <w:t xml:space="preserve"> devem ser disciplinadas no anexo da classe a que se referirem.</w:t>
      </w:r>
      <w:r>
        <w:t>”(NR)</w:t>
      </w:r>
    </w:p>
    <w:p w14:paraId="0E6CD759" w14:textId="65AF49CE" w:rsidR="00122A91" w:rsidRDefault="003A612E" w:rsidP="00122A91">
      <w:pPr>
        <w:pStyle w:val="NormaAlterada"/>
      </w:pPr>
      <w:r>
        <w:t xml:space="preserve">“Art. 24.  O administrador deve encaminhar à CVM, por meio de sistema eletrônico disponível na rede mundial de computadores, ou </w:t>
      </w:r>
      <w:r w:rsidR="004B7A63">
        <w:t xml:space="preserve">de </w:t>
      </w:r>
      <w:r>
        <w:t xml:space="preserve">sistema </w:t>
      </w:r>
      <w:r w:rsidR="004B7A63">
        <w:t xml:space="preserve">eletrônico disponibilizado </w:t>
      </w:r>
      <w:r>
        <w:t>por entidade que tenha formalizado convênio ou instrumento congênere com a CVM para esse fim, os seguintes documentos da classe de cotas</w:t>
      </w:r>
      <w:r w:rsidRPr="0097459F">
        <w:t>:</w:t>
      </w:r>
    </w:p>
    <w:p w14:paraId="34FA45C5" w14:textId="77777777" w:rsidR="00CC2E41" w:rsidRDefault="003A612E" w:rsidP="00122A91">
      <w:pPr>
        <w:pStyle w:val="NormaAlterada"/>
      </w:pPr>
      <w:r>
        <w:t>..........................................................................</w:t>
      </w:r>
      <w:r w:rsidR="00CC2E41">
        <w:t>.</w:t>
      </w:r>
    </w:p>
    <w:p w14:paraId="4BBA9CE8" w14:textId="110D788F" w:rsidR="00CC2E41" w:rsidRPr="0097459F" w:rsidRDefault="00CC2E41" w:rsidP="00CC2E41">
      <w:pPr>
        <w:pStyle w:val="NormaAlterada"/>
      </w:pPr>
      <w:r w:rsidRPr="00406DD1">
        <w:t xml:space="preserve">§ 2º  As informações previstas no inciso I e no inciso II, alínea “d” do </w:t>
      </w:r>
      <w:r w:rsidRPr="00406DD1">
        <w:rPr>
          <w:b/>
        </w:rPr>
        <w:t>caput</w:t>
      </w:r>
      <w:r w:rsidRPr="00406DD1">
        <w:t xml:space="preserve"> devem ser prestadas para cada subclasse em separado.</w:t>
      </w:r>
    </w:p>
    <w:p w14:paraId="2A875A87" w14:textId="436D3660" w:rsidR="00CC2E41" w:rsidRDefault="00CC2E41" w:rsidP="00CC2E41">
      <w:pPr>
        <w:pStyle w:val="NormaAlterada"/>
      </w:pPr>
      <w:r>
        <w:t>...........................................................................”(NR)</w:t>
      </w:r>
    </w:p>
    <w:p w14:paraId="590E729C" w14:textId="570FFDA6" w:rsidR="007A0A36" w:rsidRPr="0097459F" w:rsidRDefault="007A0A36" w:rsidP="007A0A36">
      <w:pPr>
        <w:pStyle w:val="NormaAlterada"/>
      </w:pPr>
      <w:r>
        <w:t>“Art. 25.</w:t>
      </w:r>
      <w:r w:rsidRPr="0097459F">
        <w:t xml:space="preserve">  </w:t>
      </w:r>
      <w:r w:rsidR="00EB03ED">
        <w:t>...........................................................</w:t>
      </w:r>
    </w:p>
    <w:p w14:paraId="02A5B0EC" w14:textId="77777777" w:rsidR="007A0A36" w:rsidRPr="0097459F" w:rsidRDefault="007A0A36" w:rsidP="007A0A36">
      <w:pPr>
        <w:pStyle w:val="NormaAlterada"/>
      </w:pPr>
      <w:r w:rsidRPr="0097459F">
        <w:t xml:space="preserve">I – verificar, após a realização das operações pelo gestor, a compatibilidade dos preços praticados com os preços de mercado, bem como informar ao gestor e à CVM sobre indícios materiais de incompatibilidade; </w:t>
      </w:r>
    </w:p>
    <w:p w14:paraId="2980F6DF" w14:textId="77777777" w:rsidR="007A0A36" w:rsidRDefault="007A0A36" w:rsidP="007A0A36">
      <w:pPr>
        <w:pStyle w:val="NormaAlterada"/>
      </w:pPr>
      <w:r w:rsidRPr="0097459F">
        <w:t>II – verificar, após a realização das operações pelo gestor, em periodicidade compatível com a política de investimentos da classe, a observância da carteira de ativos aos limites de composição, concentração e, se for o caso, de exposição ao risco de capital, devendo informar ao gestor e à CVM sobre eventual desenquadramento, até o final do dia seguinte à data da verificação</w:t>
      </w:r>
      <w:r>
        <w:t>; e</w:t>
      </w:r>
    </w:p>
    <w:p w14:paraId="4FCBE8A6" w14:textId="5E94189C" w:rsidR="007A0A36" w:rsidRDefault="007A0A36" w:rsidP="00CC2E41">
      <w:pPr>
        <w:pStyle w:val="NormaAlterada"/>
      </w:pPr>
      <w:r>
        <w:t>III – contratar o custodiante</w:t>
      </w:r>
      <w:r w:rsidRPr="0097459F">
        <w:t>.</w:t>
      </w:r>
      <w:r>
        <w:t>”(NR)</w:t>
      </w:r>
    </w:p>
    <w:p w14:paraId="5BB1C4D8" w14:textId="4E81641F" w:rsidR="004B7A63" w:rsidRDefault="004B7A63" w:rsidP="004B7A63">
      <w:pPr>
        <w:pStyle w:val="NormaAlterada"/>
      </w:pPr>
      <w:r>
        <w:lastRenderedPageBreak/>
        <w:t>“Art. 44.  ............................................................</w:t>
      </w:r>
    </w:p>
    <w:p w14:paraId="7FA5E2D1" w14:textId="1FCCDA96" w:rsidR="004B7A63" w:rsidRDefault="004B7A63" w:rsidP="004B7A63">
      <w:pPr>
        <w:pStyle w:val="NormaAlterada"/>
      </w:pPr>
      <w:r>
        <w:t>............................................................................</w:t>
      </w:r>
    </w:p>
    <w:p w14:paraId="3BD873BE" w14:textId="2A5D3DEF" w:rsidR="004B7A63" w:rsidRDefault="004B7A63" w:rsidP="00CC2E41">
      <w:pPr>
        <w:pStyle w:val="NormaAlterada"/>
      </w:pPr>
      <w:r>
        <w:t>§ 7º  ....................................................................</w:t>
      </w:r>
    </w:p>
    <w:p w14:paraId="019FC503" w14:textId="77777777" w:rsidR="004B7A63" w:rsidRDefault="004B7A63" w:rsidP="004B7A63">
      <w:pPr>
        <w:pStyle w:val="NormaAlterada"/>
      </w:pPr>
      <w:r>
        <w:t>............................................................................</w:t>
      </w:r>
    </w:p>
    <w:p w14:paraId="4CBCDD05" w14:textId="0878DF17" w:rsidR="00152B17" w:rsidRDefault="004B7A63" w:rsidP="00152B17">
      <w:r w:rsidRPr="0097459F">
        <w:t>II – em relação à contraparte da classe, nas operações sem garantia de liquidação</w:t>
      </w:r>
      <w:r w:rsidR="00152B17">
        <w:t xml:space="preserve"> por </w:t>
      </w:r>
      <w:r w:rsidR="00152B17" w:rsidRPr="00FE31CD">
        <w:t>entidade operadora de infraestrutura do mercado financeiro autorizada pela CVM ou pelo Banco Central do Brasil para efetuar a compensação e liquidação das operações</w:t>
      </w:r>
      <w:r w:rsidR="00152B17" w:rsidRPr="2CEDD15F">
        <w:t>.</w:t>
      </w:r>
    </w:p>
    <w:p w14:paraId="2278E044" w14:textId="6EC214B7" w:rsidR="004B7A63" w:rsidRDefault="004B7A63" w:rsidP="004B7A63">
      <w:pPr>
        <w:pStyle w:val="NormaAlterada"/>
      </w:pPr>
      <w:r>
        <w:t>§ 8º  ....................................................................</w:t>
      </w:r>
    </w:p>
    <w:p w14:paraId="12404C80" w14:textId="77777777" w:rsidR="004B7A63" w:rsidRDefault="004B7A63" w:rsidP="004B7A63">
      <w:pPr>
        <w:pStyle w:val="NormaAlterada"/>
      </w:pPr>
      <w:r>
        <w:t>............................................................................</w:t>
      </w:r>
    </w:p>
    <w:p w14:paraId="1B1D9F43" w14:textId="1DA70D36" w:rsidR="004B7A63" w:rsidRPr="0097459F" w:rsidRDefault="004B7A63" w:rsidP="004B7A63">
      <w:pPr>
        <w:pStyle w:val="NormaAlterada"/>
      </w:pPr>
      <w:r w:rsidRPr="0097459F">
        <w:t xml:space="preserve">II – de compra, pela classe, com compromisso de revenda, desde que contem com garantia de liquidação </w:t>
      </w:r>
      <w:r w:rsidR="00152B17">
        <w:t xml:space="preserve">por </w:t>
      </w:r>
      <w:r w:rsidR="00152B17" w:rsidRPr="00FE31CD">
        <w:t>entidade operadora de infraestrutura do mercado financeiro autorizada pela CVM ou pelo Banco Central do Brasil para efetuar a compensação e liquidação das operações</w:t>
      </w:r>
      <w:r w:rsidRPr="0097459F">
        <w:t>; e</w:t>
      </w:r>
    </w:p>
    <w:p w14:paraId="76C6C6A9" w14:textId="77777777" w:rsidR="004B7A63" w:rsidRDefault="004B7A63" w:rsidP="004B7A63">
      <w:pPr>
        <w:pStyle w:val="NormaAlterada"/>
      </w:pPr>
      <w:r>
        <w:t>...........................................................................”(NR)</w:t>
      </w:r>
    </w:p>
    <w:p w14:paraId="7281052A" w14:textId="608DD2AF" w:rsidR="00296D11" w:rsidRDefault="00296D11" w:rsidP="00CC2E41">
      <w:pPr>
        <w:pStyle w:val="NormaAlterada"/>
      </w:pPr>
      <w:r>
        <w:t>“Art. 45.  ............................................................</w:t>
      </w:r>
    </w:p>
    <w:p w14:paraId="7F3094E8" w14:textId="3F168EB3" w:rsidR="00296D11" w:rsidRDefault="00296D11" w:rsidP="00CC2E41">
      <w:pPr>
        <w:pStyle w:val="NormaAlterada"/>
      </w:pPr>
      <w:r>
        <w:t>I – .......................................................................</w:t>
      </w:r>
    </w:p>
    <w:p w14:paraId="5F6D3168" w14:textId="65B1BBB9" w:rsidR="00B621F5" w:rsidRPr="00B621F5" w:rsidRDefault="00296D11" w:rsidP="00B621F5">
      <w:pPr>
        <w:pStyle w:val="NormaAlterada"/>
      </w:pPr>
      <w:r>
        <w:t>............................................................................</w:t>
      </w:r>
    </w:p>
    <w:p w14:paraId="3DFCE87B" w14:textId="196C6A70" w:rsidR="000909AD" w:rsidRDefault="000909AD" w:rsidP="00383DF3">
      <w:pPr>
        <w:pStyle w:val="Normalalteradora"/>
      </w:pPr>
      <w:r w:rsidRPr="0097459F">
        <w:rPr>
          <w:rFonts w:ascii="Calibri" w:hAnsi="Calibri" w:cs="Calibri"/>
        </w:rPr>
        <w:t>b) cotas de fundos de investime</w:t>
      </w:r>
      <w:r>
        <w:rPr>
          <w:rFonts w:ascii="Calibri" w:hAnsi="Calibri" w:cs="Calibri"/>
        </w:rPr>
        <w:t>nto imobiliário – FII;</w:t>
      </w:r>
    </w:p>
    <w:p w14:paraId="6E7BA3FC" w14:textId="63358199" w:rsidR="003E2D93" w:rsidRPr="003E2D93" w:rsidRDefault="00296D11" w:rsidP="003E2D93">
      <w:pPr>
        <w:pStyle w:val="NormaAlterada"/>
      </w:pPr>
      <w:r w:rsidRPr="0097459F">
        <w:t>c) cotas de fundos de investimento em direitos creditórios – FIDC, sendo de 5% (cinco por cento) o limite para aplicação em cotas de FIDC cujas políticas de investimento admitam a aquisição de direitos creditórios não-padronizados, conforme definidos no art. 2º, inciso XIII, do Anexo Normativo II;</w:t>
      </w:r>
      <w:r w:rsidR="00681541">
        <w:t xml:space="preserve"> e</w:t>
      </w:r>
    </w:p>
    <w:p w14:paraId="18D8D7AE" w14:textId="7EEA99D1" w:rsidR="00383DF3" w:rsidRDefault="00383DF3" w:rsidP="00CC2E41">
      <w:pPr>
        <w:pStyle w:val="NormaAlterada"/>
      </w:pPr>
      <w:r>
        <w:t>d) certificados de recebíveis</w:t>
      </w:r>
      <w:r w:rsidR="004A5EB3" w:rsidRPr="004A5EB3">
        <w:t>, sendo de 5% (cinco por cento) o limite para aplicação em certificados de recebíveis cujo lastro seja composto por direitos creditórios não-padronizados, conforme definidos no art. 2º, inc</w:t>
      </w:r>
      <w:r w:rsidR="00467965">
        <w:t>iso XIII, do Anexo Normativo II</w:t>
      </w:r>
      <w:r w:rsidR="00EF7397">
        <w:t>;</w:t>
      </w:r>
    </w:p>
    <w:p w14:paraId="28F74FB9" w14:textId="1A665DB1" w:rsidR="00641472" w:rsidRDefault="00641472" w:rsidP="00CC2E41">
      <w:pPr>
        <w:pStyle w:val="NormaAlterada"/>
      </w:pPr>
      <w:r>
        <w:t>..........................................................................</w:t>
      </w:r>
    </w:p>
    <w:p w14:paraId="6424FC2E" w14:textId="5CA80F77" w:rsidR="00641472" w:rsidRDefault="00641472" w:rsidP="00CC2E41">
      <w:pPr>
        <w:pStyle w:val="NormaAlterada"/>
      </w:pPr>
      <w:r>
        <w:t>III – ....................................................................</w:t>
      </w:r>
    </w:p>
    <w:p w14:paraId="618782FD" w14:textId="0AAEB369" w:rsidR="00641472" w:rsidRDefault="00641472" w:rsidP="00641472">
      <w:pPr>
        <w:pStyle w:val="NormaAlterada"/>
      </w:pPr>
      <w:r>
        <w:lastRenderedPageBreak/>
        <w:t>...........................................................................</w:t>
      </w:r>
    </w:p>
    <w:p w14:paraId="0D43B8DE" w14:textId="10AD4469" w:rsidR="00641472" w:rsidRDefault="00641472" w:rsidP="00641472">
      <w:pPr>
        <w:pStyle w:val="Normalalteradora"/>
        <w:rPr>
          <w:rFonts w:ascii="Calibri" w:hAnsi="Calibri" w:cs="Calibri"/>
        </w:rPr>
      </w:pPr>
      <w:r>
        <w:t xml:space="preserve">b) </w:t>
      </w:r>
      <w:r w:rsidRPr="0097459F">
        <w:rPr>
          <w:rFonts w:ascii="Calibri" w:hAnsi="Calibri" w:cs="Calibri"/>
        </w:rPr>
        <w:t>CBIO</w:t>
      </w:r>
      <w:r>
        <w:rPr>
          <w:rFonts w:ascii="Calibri" w:hAnsi="Calibri" w:cs="Calibri"/>
        </w:rPr>
        <w:t xml:space="preserve"> e</w:t>
      </w:r>
      <w:r w:rsidRPr="0097459F">
        <w:rPr>
          <w:rFonts w:ascii="Calibri" w:hAnsi="Calibri" w:cs="Calibri"/>
        </w:rPr>
        <w:t xml:space="preserve"> créditos de carbono</w:t>
      </w:r>
      <w:r w:rsidRPr="0097459F" w:rsidDel="004D10E9">
        <w:rPr>
          <w:rFonts w:ascii="Calibri" w:hAnsi="Calibri" w:cs="Calibri"/>
        </w:rPr>
        <w:t>;</w:t>
      </w:r>
      <w:r w:rsidRPr="0097459F">
        <w:rPr>
          <w:rFonts w:ascii="Calibri" w:hAnsi="Calibri" w:cs="Calibri"/>
        </w:rPr>
        <w:t xml:space="preserve"> e</w:t>
      </w:r>
    </w:p>
    <w:p w14:paraId="62261A8D" w14:textId="2EE60484" w:rsidR="00641472" w:rsidRDefault="00641472" w:rsidP="00641472">
      <w:pPr>
        <w:pStyle w:val="NormaAlterada"/>
      </w:pPr>
      <w:r>
        <w:t>............................................................................”(NR)</w:t>
      </w:r>
    </w:p>
    <w:p w14:paraId="49481651" w14:textId="1BA22A3C" w:rsidR="00641472" w:rsidRDefault="00641472" w:rsidP="00641472">
      <w:pPr>
        <w:pStyle w:val="NormaAlterada"/>
      </w:pPr>
      <w:r>
        <w:t>“Art. 58.  ............................................................</w:t>
      </w:r>
    </w:p>
    <w:p w14:paraId="46B31B9E" w14:textId="1FC0C0FA" w:rsidR="00641472" w:rsidRPr="0097459F" w:rsidRDefault="00641472" w:rsidP="75B8215F">
      <w:pPr>
        <w:pStyle w:val="NormaAlterada"/>
        <w:rPr>
          <w:rFonts w:cstheme="minorBidi"/>
        </w:rPr>
      </w:pPr>
      <w:r w:rsidRPr="75B8215F">
        <w:rPr>
          <w:rFonts w:cstheme="minorBidi"/>
        </w:rPr>
        <w:t xml:space="preserve">Parágrafo único.  Os investimentos feitos pela classe “Multimercado” nos ativos de que trata o art. 56, § 1º, inciso I, não </w:t>
      </w:r>
      <w:r w:rsidR="1E924DB6" w:rsidRPr="75B8215F">
        <w:rPr>
          <w:rFonts w:cstheme="minorBidi"/>
        </w:rPr>
        <w:t>e</w:t>
      </w:r>
      <w:r w:rsidR="4BC542F3" w:rsidRPr="75B8215F">
        <w:rPr>
          <w:rFonts w:cstheme="minorBidi"/>
        </w:rPr>
        <w:t xml:space="preserve">stão </w:t>
      </w:r>
      <w:r w:rsidR="1E924DB6" w:rsidRPr="75B8215F">
        <w:rPr>
          <w:rFonts w:cstheme="minorBidi"/>
        </w:rPr>
        <w:t>sujeit</w:t>
      </w:r>
      <w:r w:rsidR="2A66CAB4" w:rsidRPr="75B8215F">
        <w:rPr>
          <w:rFonts w:cstheme="minorBidi"/>
        </w:rPr>
        <w:t>os</w:t>
      </w:r>
      <w:r w:rsidRPr="75B8215F">
        <w:rPr>
          <w:rFonts w:cstheme="minorBidi"/>
        </w:rPr>
        <w:t xml:space="preserve"> aos limites de concentração por emissor dispostos no art. 44 deste Anexo Normativo I, desde que assim esteja expressamente previsto </w:t>
      </w:r>
      <w:r w:rsidR="0E128884" w:rsidRPr="75B8215F">
        <w:rPr>
          <w:rFonts w:cstheme="minorBidi"/>
        </w:rPr>
        <w:t>no</w:t>
      </w:r>
      <w:r w:rsidRPr="75B8215F">
        <w:rPr>
          <w:rFonts w:cstheme="minorBidi"/>
        </w:rPr>
        <w:t xml:space="preserve"> regulamento e o termo de adesão contenha alerta de que a carteira pode estar exposta ao risco de concentração em ativos de poucos emissores.”(NR)</w:t>
      </w:r>
    </w:p>
    <w:p w14:paraId="4A3B369E" w14:textId="5055DD15" w:rsidR="002C67FB" w:rsidRDefault="003A612E" w:rsidP="00122A91">
      <w:pPr>
        <w:pStyle w:val="NormaAlterada"/>
      </w:pPr>
      <w:r>
        <w:t xml:space="preserve">“Art. 73.  </w:t>
      </w:r>
      <w:r w:rsidR="002C67FB">
        <w:t>............................................................</w:t>
      </w:r>
    </w:p>
    <w:p w14:paraId="34DC8B73" w14:textId="4B629904" w:rsidR="002C67FB" w:rsidRDefault="002C67FB" w:rsidP="00122A91">
      <w:pPr>
        <w:pStyle w:val="NormaAlterada"/>
      </w:pPr>
      <w:r>
        <w:t>...........................................................................</w:t>
      </w:r>
    </w:p>
    <w:p w14:paraId="5169ABC8" w14:textId="5B2841C9" w:rsidR="003A612E" w:rsidRDefault="00D10AA0" w:rsidP="00D10AA0">
      <w:pPr>
        <w:pStyle w:val="NormaAlterada"/>
        <w:rPr>
          <w:b/>
          <w:bCs/>
        </w:rPr>
      </w:pPr>
      <w:r>
        <w:t xml:space="preserve">§ 5º  </w:t>
      </w:r>
      <w:r>
        <w:rPr>
          <w:rFonts w:cstheme="minorHAnsi"/>
        </w:rPr>
        <w:t>Classes de cotas</w:t>
      </w:r>
      <w:r w:rsidRPr="00F914FD">
        <w:rPr>
          <w:rFonts w:cstheme="minorHAnsi"/>
        </w:rPr>
        <w:t xml:space="preserve"> que </w:t>
      </w:r>
      <w:r>
        <w:rPr>
          <w:rFonts w:cstheme="minorHAnsi"/>
        </w:rPr>
        <w:t>realizam</w:t>
      </w:r>
      <w:r w:rsidRPr="00F914FD">
        <w:rPr>
          <w:rFonts w:cstheme="minorHAnsi"/>
        </w:rPr>
        <w:t xml:space="preserve"> operações </w:t>
      </w:r>
      <w:r>
        <w:rPr>
          <w:rFonts w:cstheme="minorHAnsi"/>
        </w:rPr>
        <w:t>envolvendo</w:t>
      </w:r>
      <w:r w:rsidRPr="00F914FD">
        <w:rPr>
          <w:rFonts w:cstheme="minorHAnsi"/>
        </w:rPr>
        <w:t xml:space="preserve"> posições compradas e vendidas </w:t>
      </w:r>
      <w:r>
        <w:rPr>
          <w:rFonts w:cstheme="minorHAnsi"/>
        </w:rPr>
        <w:t xml:space="preserve">de </w:t>
      </w:r>
      <w:r w:rsidRPr="00F914FD">
        <w:rPr>
          <w:rFonts w:cstheme="minorHAnsi"/>
        </w:rPr>
        <w:t xml:space="preserve">ativos e derivativos </w:t>
      </w:r>
      <w:r>
        <w:rPr>
          <w:rFonts w:cstheme="minorHAnsi"/>
        </w:rPr>
        <w:t>do</w:t>
      </w:r>
      <w:r w:rsidRPr="00F914FD">
        <w:rPr>
          <w:rFonts w:cstheme="minorHAnsi"/>
        </w:rPr>
        <w:t xml:space="preserve"> mercado de renda variável</w:t>
      </w:r>
      <w:r>
        <w:rPr>
          <w:rFonts w:cstheme="minorHAnsi"/>
        </w:rPr>
        <w:t>,</w:t>
      </w:r>
      <w:r w:rsidRPr="00F914FD">
        <w:rPr>
          <w:rFonts w:cstheme="minorHAnsi"/>
        </w:rPr>
        <w:t xml:space="preserve"> cujo resultado </w:t>
      </w:r>
      <w:r>
        <w:rPr>
          <w:rFonts w:cstheme="minorHAnsi"/>
        </w:rPr>
        <w:t>esperado seja</w:t>
      </w:r>
      <w:r w:rsidRPr="00F914FD">
        <w:rPr>
          <w:rFonts w:cstheme="minorHAnsi"/>
        </w:rPr>
        <w:t xml:space="preserve"> preponderantemente </w:t>
      </w:r>
      <w:r>
        <w:rPr>
          <w:rFonts w:cstheme="minorHAnsi"/>
        </w:rPr>
        <w:t xml:space="preserve">proveniente da diferença entre </w:t>
      </w:r>
      <w:r w:rsidRPr="00F914FD">
        <w:rPr>
          <w:rFonts w:cstheme="minorHAnsi"/>
        </w:rPr>
        <w:t xml:space="preserve">as posições </w:t>
      </w:r>
      <w:r>
        <w:rPr>
          <w:rFonts w:cstheme="minorHAnsi"/>
        </w:rPr>
        <w:t xml:space="preserve">(estratégia </w:t>
      </w:r>
      <w:r w:rsidR="005D4F61">
        <w:rPr>
          <w:rFonts w:cstheme="minorHAnsi"/>
        </w:rPr>
        <w:t xml:space="preserve">comumente denominada </w:t>
      </w:r>
      <w:r>
        <w:rPr>
          <w:rFonts w:cstheme="minorHAnsi"/>
        </w:rPr>
        <w:t xml:space="preserve">de </w:t>
      </w:r>
      <w:r w:rsidRPr="00F914FD">
        <w:rPr>
          <w:rFonts w:cstheme="minorHAnsi"/>
          <w:b/>
        </w:rPr>
        <w:t xml:space="preserve">long </w:t>
      </w:r>
      <w:r>
        <w:rPr>
          <w:rFonts w:cstheme="minorHAnsi"/>
          <w:b/>
        </w:rPr>
        <w:t>and</w:t>
      </w:r>
      <w:r w:rsidRPr="00F914FD">
        <w:rPr>
          <w:rFonts w:cstheme="minorHAnsi"/>
          <w:b/>
        </w:rPr>
        <w:t xml:space="preserve"> short</w:t>
      </w:r>
      <w:r w:rsidRPr="00F914FD">
        <w:rPr>
          <w:rFonts w:cstheme="minorHAnsi"/>
        </w:rPr>
        <w:t xml:space="preserve">), </w:t>
      </w:r>
      <w:r>
        <w:rPr>
          <w:rFonts w:cstheme="minorHAnsi"/>
        </w:rPr>
        <w:t>ficam dispensadas de observar o limite</w:t>
      </w:r>
      <w:r w:rsidRPr="00F914FD">
        <w:rPr>
          <w:rFonts w:cstheme="minorHAnsi"/>
        </w:rPr>
        <w:t xml:space="preserve"> </w:t>
      </w:r>
      <w:r>
        <w:rPr>
          <w:rFonts w:cstheme="minorHAnsi"/>
        </w:rPr>
        <w:t>previsto</w:t>
      </w:r>
      <w:r w:rsidRPr="00F914FD">
        <w:rPr>
          <w:rFonts w:cstheme="minorHAnsi"/>
        </w:rPr>
        <w:t xml:space="preserve"> no inciso III do </w:t>
      </w:r>
      <w:r w:rsidRPr="00F914FD">
        <w:rPr>
          <w:rFonts w:cstheme="minorHAnsi"/>
          <w:b/>
        </w:rPr>
        <w:t>caput</w:t>
      </w:r>
      <w:r>
        <w:rPr>
          <w:rFonts w:cstheme="minorHAnsi"/>
        </w:rPr>
        <w:t>, no que se refere a essas operações</w:t>
      </w:r>
      <w:r w:rsidRPr="00D10AA0">
        <w:rPr>
          <w:bCs/>
        </w:rPr>
        <w:t>.”(NR)</w:t>
      </w:r>
    </w:p>
    <w:p w14:paraId="35785C09" w14:textId="6EBF1B4D" w:rsidR="003A612E" w:rsidRDefault="003A612E" w:rsidP="003A612E">
      <w:r>
        <w:t>Art. 3º  O Anexo Normativo II da Resolução CVM nº 175, de 202</w:t>
      </w:r>
      <w:r w:rsidR="00335430">
        <w:t>2</w:t>
      </w:r>
      <w:r>
        <w:t>, passa a vigorar com a seguinte redação:</w:t>
      </w:r>
    </w:p>
    <w:p w14:paraId="65E8B273" w14:textId="17444FDE" w:rsidR="00564D91" w:rsidRDefault="00564D91" w:rsidP="007C4252">
      <w:pPr>
        <w:pStyle w:val="NormaAlterada"/>
      </w:pPr>
      <w:r>
        <w:t>“Art. 30.  ............................................................</w:t>
      </w:r>
    </w:p>
    <w:p w14:paraId="7E1C5D90" w14:textId="2A690DF4" w:rsidR="00564D91" w:rsidRPr="0097459F" w:rsidRDefault="00742506" w:rsidP="00564D91">
      <w:pPr>
        <w:pStyle w:val="NormaAlterada"/>
      </w:pPr>
      <w:r>
        <w:t>............................................................................</w:t>
      </w:r>
    </w:p>
    <w:p w14:paraId="213E5EA4" w14:textId="32BDCE04" w:rsidR="00564D91" w:rsidRPr="0097459F" w:rsidRDefault="00564D91" w:rsidP="00564D91">
      <w:pPr>
        <w:pStyle w:val="NormaAlterada"/>
      </w:pPr>
      <w:r w:rsidRPr="0097459F">
        <w:t>II – custódia, alcançando os serviços previstos na Seção IV deste Capítulo VIII;</w:t>
      </w:r>
    </w:p>
    <w:p w14:paraId="44F81B0C" w14:textId="0E2A2BDC" w:rsidR="00564D91" w:rsidRDefault="00DB3882" w:rsidP="007C4252">
      <w:pPr>
        <w:pStyle w:val="NormaAlterada"/>
      </w:pPr>
      <w:r>
        <w:t>...........................................................................</w:t>
      </w:r>
    </w:p>
    <w:p w14:paraId="71CE8CBD" w14:textId="2C7DC9F2" w:rsidR="005772AC" w:rsidRDefault="00FA7EC0" w:rsidP="007C4252">
      <w:pPr>
        <w:pStyle w:val="NormaAlterada"/>
      </w:pPr>
      <w:r w:rsidRPr="00FA7EC0">
        <w:t xml:space="preserve">§ </w:t>
      </w:r>
      <w:r w:rsidR="00B0458B">
        <w:t>5</w:t>
      </w:r>
      <w:r w:rsidRPr="00FA7EC0">
        <w:t xml:space="preserve">º </w:t>
      </w:r>
      <w:r w:rsidR="005772AC">
        <w:t xml:space="preserve"> </w:t>
      </w:r>
      <w:r w:rsidRPr="00FA7EC0">
        <w:t>Caso a política de investimentos admita a aquisição de direitos creditórios originados ou cedidos pelo administrador, gestor, consultoria especializada e suas partes relacionadas, o custodiante contratado nos termos do inciso II não pode ser parte relacionada ao gestor</w:t>
      </w:r>
      <w:r w:rsidR="00B555FA">
        <w:t xml:space="preserve"> ou à consultoria especializada</w:t>
      </w:r>
      <w:r w:rsidRPr="00FA7EC0">
        <w:t>.</w:t>
      </w:r>
    </w:p>
    <w:p w14:paraId="02E13DD0" w14:textId="270AB477" w:rsidR="00DB3882" w:rsidRPr="0097459F" w:rsidRDefault="005772AC" w:rsidP="007C4252">
      <w:pPr>
        <w:pStyle w:val="NormaAlterada"/>
      </w:pPr>
      <w:r w:rsidRPr="005772AC">
        <w:lastRenderedPageBreak/>
        <w:t>§ 6º  O requisito previsto no § 5º não é aplicável à classe exclusivamente destinada a investidores profissionais</w:t>
      </w:r>
      <w:r>
        <w:t>.</w:t>
      </w:r>
      <w:r w:rsidR="007D19CE">
        <w:t>”(NR)</w:t>
      </w:r>
    </w:p>
    <w:p w14:paraId="01CE8E20" w14:textId="2EB69B7E" w:rsidR="003A612E" w:rsidRDefault="003A612E" w:rsidP="00F8326D">
      <w:pPr>
        <w:pStyle w:val="NormaAlterada"/>
        <w:ind w:left="0" w:firstLine="567"/>
      </w:pPr>
      <w:r>
        <w:t>“Art</w:t>
      </w:r>
      <w:r w:rsidR="00615633">
        <w:t>. 32.  ............................................................</w:t>
      </w:r>
    </w:p>
    <w:p w14:paraId="3CCB1814" w14:textId="7CD22267" w:rsidR="00615633" w:rsidRDefault="00615633" w:rsidP="00F8326D">
      <w:pPr>
        <w:pStyle w:val="NormaAlterada"/>
        <w:ind w:left="0" w:firstLine="567"/>
      </w:pPr>
      <w:r>
        <w:t>............................................................................</w:t>
      </w:r>
    </w:p>
    <w:p w14:paraId="1CDBDBEE" w14:textId="77777777" w:rsidR="00615633" w:rsidRDefault="00615633" w:rsidP="00615633">
      <w:pPr>
        <w:pStyle w:val="NormaAlterada"/>
      </w:pPr>
      <w:r>
        <w:t>§ 1º</w:t>
      </w:r>
      <w:r w:rsidRPr="0097459F">
        <w:t xml:space="preserve">  Sem prejuízo da possibilidade de contratação de outros tipos de prestadores de serviço para a função, a contratação da consultoria especializada pode englobar sua atuação como agente de cobrança.</w:t>
      </w:r>
    </w:p>
    <w:p w14:paraId="5B4C499D" w14:textId="77777777" w:rsidR="00FA7EC0" w:rsidRPr="0097459F" w:rsidRDefault="00FA7EC0" w:rsidP="00FA7EC0">
      <w:pPr>
        <w:pStyle w:val="NormaAlterada"/>
      </w:pPr>
      <w:r w:rsidRPr="0097459F">
        <w:t xml:space="preserve">§ 2º  O cedente dos direitos creditórios pode ser contratado pelo </w:t>
      </w:r>
      <w:r>
        <w:t>gestor</w:t>
      </w:r>
      <w:r w:rsidRPr="0097459F">
        <w:t>, em nome do fundo, exclusivamente como agente de cobrança dos créditos vencidos e não pagos.</w:t>
      </w:r>
    </w:p>
    <w:p w14:paraId="18B10160" w14:textId="77777777" w:rsidR="00FA7EC0" w:rsidRPr="0097459F" w:rsidRDefault="00FA7EC0" w:rsidP="00FA7EC0">
      <w:pPr>
        <w:pStyle w:val="NormaAlterada"/>
      </w:pPr>
      <w:r w:rsidRPr="0097459F">
        <w:t xml:space="preserve">§ 3º  Na classe destinada exclusivamente a investidor profissional e que não tenha as suas cotas admitidas à negociação, o originador e o cedente dos direitos creditórios podem ser contratados pelo </w:t>
      </w:r>
      <w:r>
        <w:t>gestor</w:t>
      </w:r>
      <w:r w:rsidRPr="0097459F">
        <w:t xml:space="preserve"> para efetuar a guarda dos documentos relativos aos direitos creditórios, desde que:</w:t>
      </w:r>
    </w:p>
    <w:p w14:paraId="6E651A20" w14:textId="77777777" w:rsidR="00E81F61" w:rsidRPr="0097459F" w:rsidRDefault="00E81F61" w:rsidP="00E81F61">
      <w:pPr>
        <w:pStyle w:val="NormaAlterada"/>
      </w:pPr>
      <w:r w:rsidRPr="0097459F">
        <w:t>I – a classe seja dedicada à aquisição de créditos inadimplidos, massificados, de reduzido valor médio e cedidos à classe por percentual inferior ao valor de face;</w:t>
      </w:r>
    </w:p>
    <w:p w14:paraId="37A83AFB" w14:textId="77777777" w:rsidR="00E81F61" w:rsidRPr="0097459F" w:rsidRDefault="00E81F61" w:rsidP="00E81F61">
      <w:pPr>
        <w:pStyle w:val="NormaAlterada"/>
      </w:pPr>
      <w:r w:rsidRPr="0097459F">
        <w:t>II – a cobrança dos créditos seja preponderantemente realizada, de forma extrajudicial;</w:t>
      </w:r>
    </w:p>
    <w:p w14:paraId="4BEB84AD" w14:textId="77777777" w:rsidR="00E81F61" w:rsidRPr="0097459F" w:rsidRDefault="00E81F61" w:rsidP="00E81F61">
      <w:pPr>
        <w:pStyle w:val="NormaAlterada"/>
      </w:pPr>
      <w:r w:rsidRPr="0097459F">
        <w:t>III – haja prévia aprovação pela unanimidade dos cotistas, reunidos em assembleia geral, ou declaração de ciência do cotista por meio de termo de adesão;</w:t>
      </w:r>
    </w:p>
    <w:p w14:paraId="254DC45B" w14:textId="77777777" w:rsidR="00E81F61" w:rsidRPr="0097459F" w:rsidRDefault="00E81F61" w:rsidP="00E81F61">
      <w:pPr>
        <w:pStyle w:val="NormaAlterada"/>
      </w:pPr>
      <w:r w:rsidRPr="0097459F">
        <w:t>IV – todos contratos de cessão de direitos creditórios à classe contenham cláusulas que prevejam a recompra ou indenização pelas cedentes, no mínimo pelo valor de aquisição pago pela classe, corrigidos, quando for o caso, na hipótese de a cedente não conseguir apresentar os documentos que comprovem a existência do crédito, ou de existirem óbices na documentação à efetiva cobrança do crédito;</w:t>
      </w:r>
    </w:p>
    <w:p w14:paraId="337292ED" w14:textId="77777777" w:rsidR="00E81F61" w:rsidRPr="0097459F" w:rsidRDefault="00E81F61" w:rsidP="00E81F61">
      <w:pPr>
        <w:pStyle w:val="NormaAlterada"/>
      </w:pPr>
      <w:r w:rsidRPr="0097459F">
        <w:t>V – o regulamento não preveja a dispensa de verificação do lastro, conforme prevista no art. 36, § 3º, deste Anexo Normativo II; e</w:t>
      </w:r>
    </w:p>
    <w:p w14:paraId="4D7B6CF5" w14:textId="77777777" w:rsidR="00E81F61" w:rsidRPr="0097459F" w:rsidRDefault="00E81F61" w:rsidP="00E81F61">
      <w:pPr>
        <w:pStyle w:val="NormaAlterada"/>
      </w:pPr>
      <w:r w:rsidRPr="0097459F">
        <w:t xml:space="preserve">VI – os demonstrativos trimestrais previstos no inciso V do </w:t>
      </w:r>
      <w:r w:rsidRPr="0097459F">
        <w:rPr>
          <w:b/>
        </w:rPr>
        <w:t>caput</w:t>
      </w:r>
      <w:r w:rsidRPr="0097459F">
        <w:t xml:space="preserve"> do art. 27 deste Anexo Normativo II divulguem a exposição da classe a cada cedente e o montante de créditos recomprados ou indenizados conforme o estabelecido no inciso IV </w:t>
      </w:r>
      <w:r>
        <w:t>deste § 3º.</w:t>
      </w:r>
    </w:p>
    <w:p w14:paraId="39910AD5" w14:textId="7FB3936F" w:rsidR="00615633" w:rsidRPr="0097459F" w:rsidRDefault="00FA7EC0" w:rsidP="00FA7EC0">
      <w:pPr>
        <w:pStyle w:val="NormaAlterada"/>
      </w:pPr>
      <w:r w:rsidRPr="0097459F">
        <w:lastRenderedPageBreak/>
        <w:t>§ 4º  No caso de classe exclusiva, fica dispensado o cumprimento do disposto nos incisos</w:t>
      </w:r>
      <w:r>
        <w:t xml:space="preserve"> III e IV </w:t>
      </w:r>
      <w:r w:rsidR="00990426">
        <w:t>do</w:t>
      </w:r>
      <w:r>
        <w:t xml:space="preserve"> § 3º </w:t>
      </w:r>
      <w:r w:rsidR="00990426">
        <w:t xml:space="preserve">deste artigo. </w:t>
      </w:r>
      <w:r w:rsidR="00615633">
        <w:t>(NR)</w:t>
      </w:r>
      <w:r>
        <w:t>”</w:t>
      </w:r>
    </w:p>
    <w:p w14:paraId="247EB7F0" w14:textId="3FECAAE1" w:rsidR="00615633" w:rsidRDefault="003A4882" w:rsidP="00F8326D">
      <w:pPr>
        <w:pStyle w:val="NormaAlterada"/>
        <w:ind w:left="0" w:firstLine="567"/>
      </w:pPr>
      <w:r>
        <w:t>“Art. 37.  ...........................................................</w:t>
      </w:r>
    </w:p>
    <w:p w14:paraId="19FAA745" w14:textId="50A3D5BA" w:rsidR="003A4882" w:rsidRDefault="003A4882" w:rsidP="003A4882">
      <w:pPr>
        <w:pStyle w:val="NormaAlterada"/>
        <w:rPr>
          <w:rStyle w:val="ui-provider"/>
          <w:rFonts w:eastAsiaTheme="majorEastAsia"/>
        </w:rPr>
      </w:pPr>
      <w:r>
        <w:t xml:space="preserve">Parágrafo único.  </w:t>
      </w:r>
      <w:r>
        <w:rPr>
          <w:rStyle w:val="ui-provider"/>
          <w:rFonts w:eastAsiaTheme="majorEastAsia"/>
        </w:rPr>
        <w:t xml:space="preserve">Caso o direito creditório esteja registrado em mercado organizado de </w:t>
      </w:r>
      <w:r w:rsidR="00547D69">
        <w:rPr>
          <w:rStyle w:val="ui-provider"/>
          <w:rFonts w:eastAsiaTheme="majorEastAsia"/>
        </w:rPr>
        <w:t>balcão</w:t>
      </w:r>
      <w:r w:rsidR="00C810F9">
        <w:rPr>
          <w:rStyle w:val="ui-provider"/>
          <w:rFonts w:eastAsiaTheme="majorEastAsia"/>
        </w:rPr>
        <w:t xml:space="preserve"> autorizad</w:t>
      </w:r>
      <w:r w:rsidR="009C197F">
        <w:rPr>
          <w:rStyle w:val="ui-provider"/>
          <w:rFonts w:eastAsiaTheme="majorEastAsia"/>
        </w:rPr>
        <w:t>o</w:t>
      </w:r>
      <w:r w:rsidR="00C810F9">
        <w:rPr>
          <w:rStyle w:val="ui-provider"/>
          <w:rFonts w:eastAsiaTheme="majorEastAsia"/>
        </w:rPr>
        <w:t xml:space="preserve"> pela CVM ou depositado em depositário central autorizado pela CVM ou pelo Banco Central</w:t>
      </w:r>
      <w:r w:rsidR="00394793">
        <w:rPr>
          <w:rStyle w:val="ui-provider"/>
          <w:rFonts w:eastAsiaTheme="majorEastAsia"/>
        </w:rPr>
        <w:t xml:space="preserve"> do Brasil</w:t>
      </w:r>
      <w:r>
        <w:rPr>
          <w:rStyle w:val="ui-provider"/>
          <w:rFonts w:eastAsiaTheme="majorEastAsia"/>
        </w:rPr>
        <w:t xml:space="preserve">, fica dispensado o registro de que trata o </w:t>
      </w:r>
      <w:r w:rsidRPr="00ED67B8">
        <w:rPr>
          <w:rStyle w:val="ui-provider"/>
          <w:rFonts w:eastAsiaTheme="majorEastAsia"/>
          <w:b/>
        </w:rPr>
        <w:t>caput</w:t>
      </w:r>
      <w:r>
        <w:rPr>
          <w:rStyle w:val="ui-provider"/>
          <w:rFonts w:eastAsiaTheme="majorEastAsia"/>
        </w:rPr>
        <w:t>.”(NR)</w:t>
      </w:r>
    </w:p>
    <w:p w14:paraId="00B11D94" w14:textId="1F143C5B" w:rsidR="00A05C05" w:rsidRDefault="00A05C05" w:rsidP="00A05C05">
      <w:pPr>
        <w:pStyle w:val="NormaAlterada"/>
        <w:rPr>
          <w:rStyle w:val="ui-provider"/>
          <w:rFonts w:eastAsiaTheme="majorEastAsia"/>
        </w:rPr>
      </w:pPr>
      <w:r w:rsidRPr="00A05C05">
        <w:rPr>
          <w:rStyle w:val="ui-provider"/>
          <w:rFonts w:eastAsiaTheme="majorEastAsia"/>
        </w:rPr>
        <w:t>“Art. 4</w:t>
      </w:r>
      <w:r>
        <w:rPr>
          <w:rStyle w:val="ui-provider"/>
          <w:rFonts w:eastAsiaTheme="majorEastAsia"/>
        </w:rPr>
        <w:t>5</w:t>
      </w:r>
      <w:r w:rsidRPr="00A05C05">
        <w:rPr>
          <w:rStyle w:val="ui-provider"/>
          <w:rFonts w:eastAsiaTheme="majorEastAsia"/>
        </w:rPr>
        <w:t>.  ...........................................................</w:t>
      </w:r>
    </w:p>
    <w:p w14:paraId="6DF8CBD6" w14:textId="45F2B2FD" w:rsidR="00A05C05" w:rsidRDefault="00A05C05" w:rsidP="00A05C05">
      <w:pPr>
        <w:pStyle w:val="NormaAlterada"/>
        <w:rPr>
          <w:rStyle w:val="ui-provider"/>
          <w:rFonts w:eastAsiaTheme="majorEastAsia"/>
        </w:rPr>
      </w:pPr>
      <w:r>
        <w:rPr>
          <w:rStyle w:val="ui-provider"/>
          <w:rFonts w:eastAsiaTheme="majorEastAsia"/>
        </w:rPr>
        <w:t>..........................................................................</w:t>
      </w:r>
    </w:p>
    <w:p w14:paraId="25C86DB1" w14:textId="260B095A" w:rsidR="00A05C05" w:rsidRPr="00A05C05" w:rsidRDefault="00A05C05" w:rsidP="00A05C05">
      <w:pPr>
        <w:pStyle w:val="NormaAlterada"/>
        <w:rPr>
          <w:rStyle w:val="ui-provider"/>
          <w:rFonts w:eastAsiaTheme="majorEastAsia"/>
        </w:rPr>
      </w:pPr>
      <w:r w:rsidRPr="00A05C05">
        <w:rPr>
          <w:rStyle w:val="ui-provider"/>
          <w:rFonts w:eastAsiaTheme="majorEastAsia"/>
        </w:rPr>
        <w:t xml:space="preserve">§ </w:t>
      </w:r>
      <w:r>
        <w:rPr>
          <w:rStyle w:val="ui-provider"/>
          <w:rFonts w:eastAsiaTheme="majorEastAsia"/>
        </w:rPr>
        <w:t>3</w:t>
      </w:r>
      <w:r w:rsidRPr="00A05C05">
        <w:rPr>
          <w:rStyle w:val="ui-provider"/>
          <w:rFonts w:eastAsiaTheme="majorEastAsia"/>
        </w:rPr>
        <w:t>º  ..................................................................</w:t>
      </w:r>
    </w:p>
    <w:p w14:paraId="50D453CC" w14:textId="53768D82" w:rsidR="00A05C05" w:rsidRDefault="00A05C05" w:rsidP="00A05C05">
      <w:pPr>
        <w:pStyle w:val="NormaAlterada"/>
      </w:pPr>
      <w:r>
        <w:t>I – .....................................................................</w:t>
      </w:r>
    </w:p>
    <w:p w14:paraId="1DFC9760" w14:textId="2C496C34" w:rsidR="00A05C05" w:rsidRDefault="00A05C05" w:rsidP="00A05C05">
      <w:pPr>
        <w:pStyle w:val="NormaAlterada"/>
        <w:rPr>
          <w:rStyle w:val="ui-provider"/>
          <w:rFonts w:eastAsiaTheme="majorEastAsia"/>
        </w:rPr>
      </w:pPr>
      <w:r>
        <w:rPr>
          <w:rStyle w:val="ui-provider"/>
          <w:rFonts w:eastAsiaTheme="majorEastAsia"/>
        </w:rPr>
        <w:t>..........................................................................</w:t>
      </w:r>
    </w:p>
    <w:p w14:paraId="6B0247E7" w14:textId="3810734E" w:rsidR="00A05C05" w:rsidRPr="0097459F" w:rsidRDefault="00A05C05" w:rsidP="00A05C05">
      <w:pPr>
        <w:pStyle w:val="NormaAlterada"/>
      </w:pPr>
      <w:r w:rsidRPr="0097459F">
        <w:t xml:space="preserve">c) seja entidade que tenha suas demonstrações contábeis relativas ao exercício social imediatamente anterior à </w:t>
      </w:r>
      <w:r w:rsidRPr="00A05C05">
        <w:rPr>
          <w:rStyle w:val="ui-provider"/>
          <w:rFonts w:eastAsiaTheme="majorEastAsia"/>
        </w:rPr>
        <w:t>data</w:t>
      </w:r>
      <w:r w:rsidRPr="0097459F">
        <w:t xml:space="preserve"> de </w:t>
      </w:r>
      <w:r w:rsidRPr="007A5308">
        <w:rPr>
          <w:rFonts w:cstheme="minorHAnsi"/>
          <w:bCs/>
          <w:iCs/>
        </w:rPr>
        <w:t>aquisição do direito creditório</w:t>
      </w:r>
      <w:r w:rsidRPr="0097459F">
        <w:t xml:space="preserve"> elaboradas em conformidade com o disposto na Lei nº 6.404, de 1976, e a regulamentação editada pela CVM, e auditadas por auditor independente registrado na CVM; ou</w:t>
      </w:r>
    </w:p>
    <w:p w14:paraId="0343F8B8" w14:textId="77777777" w:rsidR="00A05C05" w:rsidRDefault="00A05C05" w:rsidP="00A05C05">
      <w:pPr>
        <w:pStyle w:val="NormaAlterada"/>
      </w:pPr>
      <w:r>
        <w:t>..........................................................................”(NR)</w:t>
      </w:r>
    </w:p>
    <w:p w14:paraId="39498A16" w14:textId="0B8CCFD8" w:rsidR="00335430" w:rsidRDefault="00335430" w:rsidP="00F8326D">
      <w:pPr>
        <w:pStyle w:val="NormaAlterada"/>
        <w:ind w:left="0" w:firstLine="567"/>
      </w:pPr>
      <w:r>
        <w:t>Art. 4º  O item X do Suplemento G da Resolução CVM nº 175, de 2022, passa a vigorar com a seguinte redação:</w:t>
      </w:r>
    </w:p>
    <w:tbl>
      <w:tblPr>
        <w:tblW w:w="5096"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7459"/>
        <w:gridCol w:w="2812"/>
        <w:gridCol w:w="64"/>
        <w:gridCol w:w="50"/>
      </w:tblGrid>
      <w:tr w:rsidR="00335430" w:rsidRPr="00335430" w14:paraId="2EEA8CFD" w14:textId="77777777" w:rsidTr="0026168E">
        <w:trPr>
          <w:gridAfter w:val="2"/>
          <w:wAfter w:w="55" w:type="pct"/>
        </w:trPr>
        <w:tc>
          <w:tcPr>
            <w:tcW w:w="49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6A23C2"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b/>
                <w:color w:val="000000"/>
              </w:rPr>
              <w:t>X - Outras Informações</w:t>
            </w:r>
          </w:p>
        </w:tc>
      </w:tr>
      <w:tr w:rsidR="00335430" w:rsidRPr="00335430" w14:paraId="214757D6"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2F92A2" w14:textId="77777777" w:rsidR="00335430" w:rsidRPr="00335430" w:rsidRDefault="00335430" w:rsidP="00335430">
            <w:pPr>
              <w:spacing w:before="0" w:after="0" w:line="240" w:lineRule="auto"/>
              <w:ind w:firstLine="0"/>
              <w:jc w:val="left"/>
              <w:rPr>
                <w:rFonts w:asciiTheme="minorHAnsi" w:eastAsiaTheme="minorHAnsi" w:hAnsiTheme="minorHAnsi" w:cstheme="minorHAnsi"/>
                <w:b/>
              </w:rPr>
            </w:pPr>
            <w:r w:rsidRPr="00335430">
              <w:rPr>
                <w:rFonts w:asciiTheme="minorHAnsi" w:eastAsiaTheme="minorHAnsi" w:hAnsiTheme="minorHAnsi" w:cstheme="minorHAnsi"/>
              </w:rPr>
              <w:t>1) Número de Cotistas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7719510D" w14:textId="77777777" w:rsidR="00335430" w:rsidRPr="00335430" w:rsidRDefault="00335430" w:rsidP="00335430">
            <w:pPr>
              <w:spacing w:before="0" w:after="0" w:line="240" w:lineRule="auto"/>
              <w:ind w:firstLine="0"/>
              <w:jc w:val="left"/>
              <w:rPr>
                <w:rFonts w:asciiTheme="minorHAnsi" w:eastAsiaTheme="minorHAnsi" w:hAnsiTheme="minorHAnsi" w:cstheme="minorHAnsi"/>
                <w:b/>
                <w:color w:val="632423"/>
              </w:rPr>
            </w:pPr>
          </w:p>
        </w:tc>
      </w:tr>
      <w:tr w:rsidR="00335430" w:rsidRPr="00335430" w14:paraId="75EED73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0166D0"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Subclasse Sênior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D20AA2"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7782289D"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C36E89"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746CE3"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790E3980"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5CFB75"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278B0D"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4B58946B"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C0E427"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Série 3</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FD815C"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45855B74"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42993A"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 xml:space="preserve">... </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FCFD12"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4B4AE856"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1248A9"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Subclasse Subordinada Mezanino (as cotas mezanino são subordinadas às seniores)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7A34DD"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52939946"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C01438" w14:textId="77777777" w:rsidR="00335430" w:rsidRPr="00335430" w:rsidRDefault="00335430" w:rsidP="00335430">
            <w:pPr>
              <w:spacing w:before="0" w:after="0" w:line="240" w:lineRule="auto"/>
              <w:ind w:left="376" w:firstLine="0"/>
              <w:jc w:val="left"/>
              <w:rPr>
                <w:rFonts w:asciiTheme="minorHAnsi" w:eastAsiaTheme="minorHAnsi" w:hAnsiTheme="minorHAnsi" w:cstheme="minorHAnsi"/>
              </w:rPr>
            </w:pPr>
            <w:r w:rsidRPr="00335430">
              <w:rPr>
                <w:rFonts w:asciiTheme="minorHAnsi" w:eastAsiaTheme="minorHAnsi" w:hAnsiTheme="minorHAnsi" w:cstheme="minorHAnsi"/>
              </w:rPr>
              <w:t xml:space="preserve">Mezanino 1 </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D46E2D"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3D2E08D"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6C05F9"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lastRenderedPageBreak/>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2DD861"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66B201CA"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FD3680"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208598"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47B97879"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FB9FF6"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Série 3</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348AB1"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74B07C25"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FA16F"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 xml:space="preserve">... </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F0F33E"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2DF2E994"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3197837D" w14:textId="77777777" w:rsidR="00335430" w:rsidRPr="00335430" w:rsidRDefault="00335430" w:rsidP="00335430">
            <w:pPr>
              <w:spacing w:before="0" w:after="0" w:line="240" w:lineRule="auto"/>
              <w:ind w:left="708" w:hanging="191"/>
              <w:jc w:val="left"/>
              <w:rPr>
                <w:rFonts w:asciiTheme="minorHAnsi" w:eastAsiaTheme="minorHAnsi" w:hAnsiTheme="minorHAnsi" w:cstheme="minorHAnsi"/>
              </w:rPr>
            </w:pPr>
            <w:r w:rsidRPr="00335430">
              <w:rPr>
                <w:rFonts w:asciiTheme="minorHAnsi" w:eastAsiaTheme="minorHAnsi" w:hAnsiTheme="minorHAnsi" w:cstheme="minorHAnsi"/>
              </w:rPr>
              <w:t>Mezanino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1C9C298E"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0B03E5AB"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5AF7A70F"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69D0D18C"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36333D6D"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8E83A0"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5C54F0"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5979ACDD"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C847F3"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Série 3</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7D2ED0"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7A069546"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E9892E"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 xml:space="preserve">... </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407CF5"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7BC64735"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69998933" w14:textId="77777777" w:rsidR="00335430" w:rsidRPr="00335430" w:rsidRDefault="00335430" w:rsidP="00335430">
            <w:pPr>
              <w:spacing w:before="0" w:after="0" w:line="240" w:lineRule="auto"/>
              <w:ind w:left="708" w:hanging="191"/>
              <w:jc w:val="left"/>
              <w:rPr>
                <w:rFonts w:asciiTheme="minorHAnsi" w:eastAsiaTheme="minorHAnsi" w:hAnsiTheme="minorHAnsi" w:cstheme="minorHAnsi"/>
              </w:rPr>
            </w:pPr>
            <w:r w:rsidRPr="00335430">
              <w:rPr>
                <w:rFonts w:asciiTheme="minorHAnsi" w:eastAsiaTheme="minorHAnsi" w:hAnsiTheme="minorHAnsi" w:cstheme="minorHAnsi"/>
              </w:rPr>
              <w:t>Mezanino 3</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42316396"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0993C0FC"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00A6B4AB"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166DB3B4"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72F280A2"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5F3232"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154B31"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3B6366C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3DC9AD"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Série 3</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6ED162"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6D7C596D"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6AD9C0"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 xml:space="preserve">... </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308572"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4FD2D2C3"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7FA3E8" w14:textId="77777777" w:rsidR="00335430" w:rsidRPr="00335430" w:rsidRDefault="00335430" w:rsidP="00335430">
            <w:pPr>
              <w:spacing w:before="0" w:after="0" w:line="240" w:lineRule="auto"/>
              <w:ind w:left="1416" w:hanging="1324"/>
              <w:jc w:val="left"/>
              <w:rPr>
                <w:rFonts w:asciiTheme="minorHAnsi" w:eastAsiaTheme="minorHAnsi" w:hAnsiTheme="minorHAnsi" w:cstheme="minorHAnsi"/>
              </w:rPr>
            </w:pPr>
            <w:r w:rsidRPr="00335430">
              <w:rPr>
                <w:rFonts w:asciiTheme="minorHAnsi" w:eastAsiaTheme="minorHAnsi" w:hAnsiTheme="minorHAnsi" w:cstheme="minorHAnsi"/>
              </w:rPr>
              <w:t xml:space="preserve">Subclasse Subordinada </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BFD81D"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35BF408C"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EC50FD"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1.1) Número de Cotistas – Subclasse Sênior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EBE50F"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5B30C4AF"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1C1B5F"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Pessoa física</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52BD31"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67C5D564"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F65D24"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Pessoa jurídica não financeira</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6019AD"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2DB1B502"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984B79"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Banco comercial</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43B40"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10456F76"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79CE65"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Corretora ou distribuidora</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EFA2CC"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234591B7" w14:textId="77777777" w:rsidTr="0026168E">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D1C560"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Outras pessoas jurídicas financeiras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8DE6F7"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c>
          <w:tcPr>
            <w:tcW w:w="55" w:type="pct"/>
            <w:gridSpan w:val="2"/>
            <w:tcBorders>
              <w:top w:val="nil"/>
              <w:left w:val="nil"/>
              <w:bottom w:val="nil"/>
              <w:right w:val="outset" w:sz="6" w:space="0" w:color="000000" w:themeColor="text1"/>
            </w:tcBorders>
            <w:shd w:val="clear" w:color="auto" w:fill="auto"/>
            <w:vAlign w:val="center"/>
          </w:tcPr>
          <w:p w14:paraId="62E26B91"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highlight w:val="yellow"/>
              </w:rPr>
            </w:pPr>
          </w:p>
        </w:tc>
      </w:tr>
      <w:tr w:rsidR="00335430" w:rsidRPr="00335430" w14:paraId="5FB5DEE4"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F3CC82"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Investidores não residentes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F96574"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00B50E63"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34C32B"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Entidade aberta de previdência complementar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302982"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144D0B30"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F59B3F"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Entidade fechada de previdência complementar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518AF8"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5FE2D8E1"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B2E1AA"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Regime próprio de previdência dos servidores públicos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881D8F"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49AF5F56"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A7192A"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Sociedade seguradora ou resseguradora</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7D2989"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78B6DF8F"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E935AA"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Sociedade de capitalização e de arrendamento mercantil</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BCA946"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4BAB141A"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AB57FA"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Fundos de investimento em cotas de fundos de investimento em direitos creditórios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5AE25E"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451760EA"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2F0F1F"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Fundos de investimento imobiliário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6404C3"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3C06E6CE"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EDD411"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lastRenderedPageBreak/>
              <w:t>Outros fundos de investimento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ED4899"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5818418A"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D142C7"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Clubes de investimento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FBB33F"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5A6A786F"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973A2D"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Outros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9FB189"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5CBA020C"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9B25D9"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1.2) Número de Cotistas – Subclasse Subordinada (mezanino e junior)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07C268"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07D48FB4"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ED6059"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Pessoa física</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9615F1"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6039FE0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999502"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Pessoa jurídica não financeira</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F60C13"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612E063F"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D3690A"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Banco comercial</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71649F"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03BD002F"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B27A99"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Corretora ou distribuidora</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162603"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6A18F62C"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BCBC4F"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Outras pessoas jurídicas financeiras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90D3C4"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50B90AF1"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A8E57A"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Investidores não residentes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785DF4"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541ED74E"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E5AD52"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Entidade aberta de previdência complementar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37009A"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2FC9EBB3"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36B07D"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Entidade fechada de previdência complementar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1D8D7E"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7D2762AF"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63EC18"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Regime próprio de previdência dos servidores públicos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654C28"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6ED5896B"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01D0B4"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Sociedade seguradora ou resseguradora</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B0706B"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36082FC1"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05B1D4"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Sociedade de capitalização e de arrendamento mercantil</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83D17B"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35A4D79B"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1CD14F"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Fundos de investimento em cotas de fundos de investimento em direitos creditórios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96A781"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2F7D5671"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F023B0"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Fundos de investimento imobiliário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95CA44"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6E0D86A5"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69E851"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Outros fundos de investimento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025F44"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112F846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F36B12"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Clubes de investimento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5F4037"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69B73F20"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F73829" w14:textId="77777777" w:rsidR="00335430" w:rsidRPr="00335430" w:rsidRDefault="00335430" w:rsidP="00335430">
            <w:pPr>
              <w:spacing w:before="0" w:after="0" w:line="240" w:lineRule="auto"/>
              <w:ind w:left="567" w:firstLine="0"/>
              <w:jc w:val="left"/>
              <w:rPr>
                <w:rFonts w:asciiTheme="minorHAnsi" w:eastAsiaTheme="minorHAnsi" w:hAnsiTheme="minorHAnsi" w:cstheme="minorHAnsi"/>
              </w:rPr>
            </w:pPr>
            <w:r w:rsidRPr="00335430">
              <w:rPr>
                <w:rFonts w:asciiTheme="minorHAnsi" w:eastAsiaTheme="minorHAnsi" w:hAnsiTheme="minorHAnsi" w:cstheme="minorHAnsi"/>
              </w:rPr>
              <w:t>Outros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326772"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6AEE5D77"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FDB01A"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2) Descrição da Série/Subclasse (separar por Subclasse e série)</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6059AA7D"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C7FD08E"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49930"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Subclasse Sênior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F5A31F"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0698B1D7"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708776"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09BCB1"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61C79455" w14:textId="77777777" w:rsidTr="0026168E">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EB28FF" w14:textId="77777777" w:rsidR="00335430" w:rsidRPr="00335430" w:rsidRDefault="00335430" w:rsidP="00335430">
            <w:pPr>
              <w:spacing w:before="0" w:after="0" w:line="240" w:lineRule="auto"/>
              <w:ind w:left="907" w:firstLine="0"/>
              <w:jc w:val="left"/>
              <w:rPr>
                <w:rFonts w:asciiTheme="minorHAnsi" w:eastAsiaTheme="minorHAnsi" w:hAnsiTheme="minorHAnsi" w:cstheme="minorHAnsi"/>
              </w:rPr>
            </w:pPr>
            <w:r w:rsidRPr="00335430">
              <w:rPr>
                <w:rFonts w:asciiTheme="minorHAnsi" w:eastAsiaTheme="minorHAnsi" w:hAnsiTheme="minorHAnsi" w:cstheme="minorHAnsi"/>
              </w:rPr>
              <w:t>Quantidade de Cotas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9098B4"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c>
          <w:tcPr>
            <w:tcW w:w="55" w:type="pct"/>
            <w:gridSpan w:val="2"/>
            <w:tcBorders>
              <w:top w:val="nil"/>
              <w:left w:val="nil"/>
              <w:bottom w:val="nil"/>
              <w:right w:val="outset" w:sz="6" w:space="0" w:color="000000" w:themeColor="text1"/>
            </w:tcBorders>
            <w:shd w:val="clear" w:color="auto" w:fill="auto"/>
            <w:vAlign w:val="center"/>
          </w:tcPr>
          <w:p w14:paraId="383EF19B"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1B517EAC"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927697" w14:textId="77777777" w:rsidR="00335430" w:rsidRPr="00335430" w:rsidRDefault="00335430" w:rsidP="00335430">
            <w:pPr>
              <w:spacing w:before="0" w:after="0" w:line="240" w:lineRule="auto"/>
              <w:ind w:left="907" w:firstLine="0"/>
              <w:jc w:val="left"/>
              <w:rPr>
                <w:rFonts w:asciiTheme="minorHAnsi" w:eastAsiaTheme="minorHAnsi" w:hAnsiTheme="minorHAnsi" w:cstheme="minorHAnsi"/>
              </w:rPr>
            </w:pPr>
            <w:r w:rsidRPr="00335430">
              <w:rPr>
                <w:rFonts w:asciiTheme="minorHAnsi" w:eastAsiaTheme="minorHAnsi" w:hAnsiTheme="minorHAnsi" w:cstheme="minorHAnsi"/>
              </w:rPr>
              <w:t>Valor da Cota (R$)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DC6668"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35224A8C"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754CA0" w14:textId="77777777" w:rsidR="00335430" w:rsidRPr="00335430" w:rsidRDefault="00335430" w:rsidP="00335430">
            <w:pPr>
              <w:spacing w:before="0" w:after="0" w:line="240" w:lineRule="auto"/>
              <w:ind w:left="1247" w:hanging="446"/>
              <w:jc w:val="left"/>
              <w:rPr>
                <w:rFonts w:asciiTheme="minorHAnsi" w:eastAsiaTheme="minorHAnsi" w:hAnsiTheme="minorHAnsi" w:cstheme="minorHAnsi"/>
              </w:rPr>
            </w:pPr>
            <w:r w:rsidRPr="00335430">
              <w:rPr>
                <w:rFonts w:asciiTheme="minorHAnsi" w:eastAsiaTheme="minorHAnsi" w:hAnsiTheme="minorHAnsi" w:cstheme="minorHAnsi"/>
              </w:rPr>
              <w:t>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095C2F"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3F96FEF0"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929DAB" w14:textId="77777777" w:rsidR="00335430" w:rsidRPr="00335430" w:rsidRDefault="00335430" w:rsidP="00335430">
            <w:pPr>
              <w:spacing w:before="0" w:after="0" w:line="240" w:lineRule="auto"/>
              <w:ind w:left="1531" w:hanging="588"/>
              <w:jc w:val="left"/>
              <w:rPr>
                <w:rFonts w:asciiTheme="minorHAnsi" w:eastAsiaTheme="minorHAnsi" w:hAnsiTheme="minorHAnsi" w:cstheme="minorHAnsi"/>
              </w:rPr>
            </w:pPr>
            <w:r w:rsidRPr="00335430">
              <w:rPr>
                <w:rFonts w:asciiTheme="minorHAnsi" w:eastAsiaTheme="minorHAnsi" w:hAnsiTheme="minorHAnsi" w:cstheme="minorHAnsi"/>
              </w:rPr>
              <w:t>Quantidade de Cotas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B7ADE5"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619941F7"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BF0160" w14:textId="77777777" w:rsidR="00335430" w:rsidRPr="00335430" w:rsidRDefault="00335430" w:rsidP="00335430">
            <w:pPr>
              <w:spacing w:before="0" w:after="0" w:line="240" w:lineRule="auto"/>
              <w:ind w:left="1531" w:hanging="588"/>
              <w:jc w:val="left"/>
              <w:rPr>
                <w:rFonts w:asciiTheme="minorHAnsi" w:eastAsiaTheme="minorHAnsi" w:hAnsiTheme="minorHAnsi" w:cstheme="minorHAnsi"/>
              </w:rPr>
            </w:pPr>
            <w:r w:rsidRPr="00335430">
              <w:rPr>
                <w:rFonts w:asciiTheme="minorHAnsi" w:eastAsiaTheme="minorHAnsi" w:hAnsiTheme="minorHAnsi" w:cstheme="minorHAnsi"/>
              </w:rPr>
              <w:t>Valor da Cota (R$)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A47E98"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5B7DE286"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4F849C23" w14:textId="77777777" w:rsidR="00335430" w:rsidRPr="00335430" w:rsidRDefault="00335430" w:rsidP="00335430">
            <w:pPr>
              <w:spacing w:before="0" w:after="0" w:line="240" w:lineRule="auto"/>
              <w:ind w:firstLine="801"/>
              <w:jc w:val="left"/>
              <w:rPr>
                <w:rFonts w:asciiTheme="minorHAnsi" w:eastAsiaTheme="minorHAnsi" w:hAnsiTheme="minorHAnsi" w:cstheme="minorHAnsi"/>
              </w:rPr>
            </w:pPr>
            <w:r w:rsidRPr="00335430">
              <w:rPr>
                <w:rFonts w:asciiTheme="minorHAnsi" w:eastAsiaTheme="minorHAnsi" w:hAnsiTheme="minorHAnsi" w:cstheme="minorHAnsi"/>
              </w:rPr>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2D66CAC6"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5935BC41"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680B4B"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lastRenderedPageBreak/>
              <w:t>Subclasse Subordinada Mezanino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860334"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251B2FAC"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83E5B2"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Mezanino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0FE6EF"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74528E96"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1F00B2F3" w14:textId="77777777" w:rsidR="00335430" w:rsidRPr="00335430" w:rsidRDefault="00335430" w:rsidP="00335430">
            <w:pPr>
              <w:spacing w:before="0" w:after="0" w:line="240" w:lineRule="auto"/>
              <w:ind w:left="907" w:firstLine="0"/>
              <w:jc w:val="left"/>
              <w:rPr>
                <w:rFonts w:asciiTheme="minorHAnsi" w:eastAsiaTheme="minorHAnsi" w:hAnsiTheme="minorHAnsi" w:cstheme="minorHAnsi"/>
              </w:rPr>
            </w:pPr>
            <w:r w:rsidRPr="00335430">
              <w:rPr>
                <w:rFonts w:asciiTheme="minorHAnsi" w:eastAsiaTheme="minorHAnsi" w:hAnsiTheme="minorHAnsi" w:cstheme="minorHAnsi"/>
              </w:rPr>
              <w:t xml:space="preserve">  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78DDE978"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0207E2F"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350336" w14:textId="77777777" w:rsidR="00335430" w:rsidRPr="00335430" w:rsidRDefault="00335430" w:rsidP="00335430">
            <w:pPr>
              <w:spacing w:before="0" w:after="0" w:line="240" w:lineRule="auto"/>
              <w:ind w:left="907" w:firstLine="0"/>
              <w:jc w:val="left"/>
              <w:rPr>
                <w:rFonts w:asciiTheme="minorHAnsi" w:eastAsiaTheme="minorHAnsi" w:hAnsiTheme="minorHAnsi" w:cstheme="minorHAnsi"/>
              </w:rPr>
            </w:pPr>
            <w:r w:rsidRPr="00335430">
              <w:rPr>
                <w:rFonts w:asciiTheme="minorHAnsi" w:eastAsiaTheme="minorHAnsi" w:hAnsiTheme="minorHAnsi" w:cstheme="minorHAnsi"/>
              </w:rPr>
              <w:t xml:space="preserve">    Quantidade de Cotas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C8E5B0"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5301C1C9"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95A49F" w14:textId="77777777" w:rsidR="00335430" w:rsidRPr="00335430" w:rsidRDefault="00335430" w:rsidP="00335430">
            <w:pPr>
              <w:spacing w:before="0" w:after="0" w:line="240" w:lineRule="auto"/>
              <w:ind w:left="907" w:firstLine="0"/>
              <w:jc w:val="left"/>
              <w:rPr>
                <w:rFonts w:asciiTheme="minorHAnsi" w:eastAsiaTheme="minorHAnsi" w:hAnsiTheme="minorHAnsi" w:cstheme="minorHAnsi"/>
              </w:rPr>
            </w:pPr>
            <w:r w:rsidRPr="00335430">
              <w:rPr>
                <w:rFonts w:asciiTheme="minorHAnsi" w:eastAsiaTheme="minorHAnsi" w:hAnsiTheme="minorHAnsi" w:cstheme="minorHAnsi"/>
              </w:rPr>
              <w:t xml:space="preserve">     Valor da Cota (R$)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D92F8C"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49ED137F"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05741124" w14:textId="77777777" w:rsidR="00335430" w:rsidRPr="00335430" w:rsidRDefault="00335430" w:rsidP="00335430">
            <w:pPr>
              <w:spacing w:before="0" w:after="0" w:line="240" w:lineRule="auto"/>
              <w:ind w:left="907" w:firstLine="0"/>
              <w:jc w:val="left"/>
              <w:rPr>
                <w:rFonts w:asciiTheme="minorHAnsi" w:eastAsiaTheme="minorHAnsi" w:hAnsiTheme="minorHAnsi" w:cstheme="minorHAnsi"/>
              </w:rPr>
            </w:pPr>
            <w:r w:rsidRPr="00335430">
              <w:rPr>
                <w:rFonts w:asciiTheme="minorHAnsi" w:eastAsiaTheme="minorHAnsi" w:hAnsiTheme="minorHAnsi" w:cstheme="minorHAnsi"/>
              </w:rPr>
              <w:t xml:space="preserve">  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50C252BE"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03F4A93"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2711CC20" w14:textId="77777777" w:rsidR="00335430" w:rsidRPr="00335430" w:rsidRDefault="00335430" w:rsidP="00335430">
            <w:pPr>
              <w:spacing w:before="0" w:after="0" w:line="240" w:lineRule="auto"/>
              <w:ind w:left="907" w:firstLine="0"/>
              <w:jc w:val="left"/>
              <w:rPr>
                <w:rFonts w:asciiTheme="minorHAnsi" w:eastAsiaTheme="minorHAnsi" w:hAnsiTheme="minorHAnsi" w:cstheme="minorHAnsi"/>
              </w:rPr>
            </w:pPr>
            <w:r w:rsidRPr="00335430">
              <w:rPr>
                <w:rFonts w:asciiTheme="minorHAnsi" w:eastAsiaTheme="minorHAnsi" w:hAnsiTheme="minorHAnsi" w:cstheme="minorHAnsi"/>
              </w:rPr>
              <w:t xml:space="preserve">     Quantidade de Cotas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70D0AB0F"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7B64006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671CA112" w14:textId="77777777" w:rsidR="00335430" w:rsidRPr="00335430" w:rsidRDefault="00335430" w:rsidP="00335430">
            <w:pPr>
              <w:spacing w:before="0" w:after="0" w:line="240" w:lineRule="auto"/>
              <w:ind w:left="907" w:firstLine="0"/>
              <w:jc w:val="left"/>
              <w:rPr>
                <w:rFonts w:asciiTheme="minorHAnsi" w:eastAsiaTheme="minorHAnsi" w:hAnsiTheme="minorHAnsi" w:cstheme="minorHAnsi"/>
              </w:rPr>
            </w:pPr>
            <w:r w:rsidRPr="00335430">
              <w:rPr>
                <w:rFonts w:asciiTheme="minorHAnsi" w:eastAsiaTheme="minorHAnsi" w:hAnsiTheme="minorHAnsi" w:cstheme="minorHAnsi"/>
              </w:rPr>
              <w:t xml:space="preserve">      Valor da Cota (R$)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505C2E2B"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6E5B1010"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46709F59" w14:textId="77777777" w:rsidR="00335430" w:rsidRPr="00335430" w:rsidRDefault="00335430" w:rsidP="00335430">
            <w:pPr>
              <w:spacing w:before="0" w:after="0" w:line="240" w:lineRule="auto"/>
              <w:ind w:left="1247" w:hanging="446"/>
              <w:jc w:val="left"/>
              <w:rPr>
                <w:rFonts w:asciiTheme="minorHAnsi" w:eastAsiaTheme="minorHAnsi" w:hAnsiTheme="minorHAnsi" w:cstheme="minorHAnsi"/>
              </w:rPr>
            </w:pPr>
            <w:r w:rsidRPr="00335430">
              <w:rPr>
                <w:rFonts w:asciiTheme="minorHAnsi" w:eastAsiaTheme="minorHAnsi" w:hAnsiTheme="minorHAnsi" w:cstheme="minorHAnsi"/>
              </w:rPr>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699E060D"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08F56A7B"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8432DE" w14:textId="77777777" w:rsidR="00335430" w:rsidRPr="00335430" w:rsidRDefault="00335430" w:rsidP="00335430">
            <w:pPr>
              <w:spacing w:before="0" w:after="0" w:line="240" w:lineRule="auto"/>
              <w:ind w:left="1247" w:hanging="446"/>
              <w:jc w:val="left"/>
              <w:rPr>
                <w:rFonts w:asciiTheme="minorHAnsi" w:eastAsiaTheme="minorHAnsi" w:hAnsiTheme="minorHAnsi" w:cstheme="minorHAnsi"/>
              </w:rPr>
            </w:pPr>
            <w:r w:rsidRPr="00335430">
              <w:rPr>
                <w:rFonts w:asciiTheme="minorHAnsi" w:eastAsiaTheme="minorHAnsi" w:hAnsiTheme="minorHAnsi" w:cstheme="minorHAnsi"/>
              </w:rPr>
              <w:t>Mezanino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A04EA3"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4DFEC401"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4A02AB0D" w14:textId="77777777" w:rsidR="00335430" w:rsidRPr="00335430" w:rsidRDefault="00335430" w:rsidP="00335430">
            <w:pPr>
              <w:spacing w:before="0" w:after="0" w:line="240" w:lineRule="auto"/>
              <w:ind w:left="1531" w:hanging="588"/>
              <w:jc w:val="left"/>
              <w:rPr>
                <w:rFonts w:asciiTheme="minorHAnsi" w:eastAsiaTheme="minorHAnsi" w:hAnsiTheme="minorHAnsi" w:cstheme="minorHAnsi"/>
              </w:rPr>
            </w:pPr>
            <w:r w:rsidRPr="00335430">
              <w:rPr>
                <w:rFonts w:asciiTheme="minorHAnsi" w:eastAsiaTheme="minorHAnsi" w:hAnsiTheme="minorHAnsi" w:cstheme="minorHAnsi"/>
              </w:rPr>
              <w:t xml:space="preserve">  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6368FEAB"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53FA165A"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B24B0E" w14:textId="77777777" w:rsidR="00335430" w:rsidRPr="00335430" w:rsidRDefault="00335430" w:rsidP="00335430">
            <w:pPr>
              <w:spacing w:before="0" w:after="0" w:line="240" w:lineRule="auto"/>
              <w:ind w:firstLine="1226"/>
              <w:jc w:val="left"/>
              <w:rPr>
                <w:rFonts w:asciiTheme="minorHAnsi" w:eastAsiaTheme="minorHAnsi" w:hAnsiTheme="minorHAnsi" w:cstheme="minorHAnsi"/>
              </w:rPr>
            </w:pPr>
            <w:r w:rsidRPr="00335430">
              <w:rPr>
                <w:rFonts w:asciiTheme="minorHAnsi" w:eastAsiaTheme="minorHAnsi" w:hAnsiTheme="minorHAnsi" w:cstheme="minorHAnsi"/>
              </w:rPr>
              <w:t>Quantidade de Cotas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F6391E"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5B670364"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386E9C" w14:textId="77777777" w:rsidR="00335430" w:rsidRPr="00335430" w:rsidRDefault="00335430" w:rsidP="00335430">
            <w:pPr>
              <w:spacing w:before="0" w:after="0" w:line="240" w:lineRule="auto"/>
              <w:ind w:firstLine="1226"/>
              <w:jc w:val="left"/>
              <w:rPr>
                <w:rFonts w:asciiTheme="minorHAnsi" w:eastAsiaTheme="minorHAnsi" w:hAnsiTheme="minorHAnsi" w:cstheme="minorHAnsi"/>
              </w:rPr>
            </w:pPr>
            <w:r w:rsidRPr="00335430">
              <w:rPr>
                <w:rFonts w:asciiTheme="minorHAnsi" w:eastAsiaTheme="minorHAnsi" w:hAnsiTheme="minorHAnsi" w:cstheme="minorHAnsi"/>
              </w:rPr>
              <w:t>Valor da Cota (R$)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F8306F"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4B7C74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19F9F0D7" w14:textId="77777777" w:rsidR="00335430" w:rsidRPr="00335430" w:rsidRDefault="00335430" w:rsidP="00335430">
            <w:pPr>
              <w:spacing w:before="0" w:after="0" w:line="240" w:lineRule="auto"/>
              <w:ind w:left="907" w:firstLine="0"/>
              <w:jc w:val="left"/>
              <w:rPr>
                <w:rFonts w:asciiTheme="minorHAnsi" w:eastAsiaTheme="minorHAnsi" w:hAnsiTheme="minorHAnsi" w:cstheme="minorHAnsi"/>
              </w:rPr>
            </w:pPr>
            <w:r w:rsidRPr="00335430">
              <w:rPr>
                <w:rFonts w:asciiTheme="minorHAnsi" w:eastAsiaTheme="minorHAnsi" w:hAnsiTheme="minorHAnsi" w:cstheme="minorHAnsi"/>
              </w:rPr>
              <w:t xml:space="preserve">  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249935F5"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6DB4E83A"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3964CF60" w14:textId="77777777" w:rsidR="00335430" w:rsidRPr="00335430" w:rsidRDefault="00335430" w:rsidP="00335430">
            <w:pPr>
              <w:spacing w:before="0" w:after="0" w:line="240" w:lineRule="auto"/>
              <w:ind w:left="907" w:firstLine="0"/>
              <w:jc w:val="left"/>
              <w:rPr>
                <w:rFonts w:asciiTheme="minorHAnsi" w:eastAsiaTheme="minorHAnsi" w:hAnsiTheme="minorHAnsi" w:cstheme="minorHAnsi"/>
              </w:rPr>
            </w:pPr>
            <w:r w:rsidRPr="00335430">
              <w:rPr>
                <w:rFonts w:asciiTheme="minorHAnsi" w:eastAsiaTheme="minorHAnsi" w:hAnsiTheme="minorHAnsi" w:cstheme="minorHAnsi"/>
              </w:rPr>
              <w:t xml:space="preserve">        Quantidade de Cotas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6B7474E2"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65597A52"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503DE916" w14:textId="77777777" w:rsidR="00335430" w:rsidRPr="00335430" w:rsidRDefault="00335430" w:rsidP="00335430">
            <w:pPr>
              <w:spacing w:before="0" w:after="0" w:line="240" w:lineRule="auto"/>
              <w:ind w:left="907" w:firstLine="0"/>
              <w:jc w:val="left"/>
              <w:rPr>
                <w:rFonts w:asciiTheme="minorHAnsi" w:eastAsiaTheme="minorHAnsi" w:hAnsiTheme="minorHAnsi" w:cstheme="minorHAnsi"/>
              </w:rPr>
            </w:pPr>
            <w:r w:rsidRPr="00335430">
              <w:rPr>
                <w:rFonts w:asciiTheme="minorHAnsi" w:eastAsiaTheme="minorHAnsi" w:hAnsiTheme="minorHAnsi" w:cstheme="minorHAnsi"/>
              </w:rPr>
              <w:t xml:space="preserve">         Valor da Cota (R$)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7223E01C"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A445A2C"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34B68836" w14:textId="77777777" w:rsidR="00335430" w:rsidRPr="00335430" w:rsidRDefault="00335430" w:rsidP="00335430">
            <w:pPr>
              <w:spacing w:before="0" w:after="0" w:line="240" w:lineRule="auto"/>
              <w:ind w:left="1814" w:hanging="730"/>
              <w:jc w:val="left"/>
              <w:rPr>
                <w:rFonts w:asciiTheme="minorHAnsi" w:eastAsiaTheme="minorHAnsi" w:hAnsiTheme="minorHAnsi" w:cstheme="minorHAnsi"/>
              </w:rPr>
            </w:pPr>
            <w:r w:rsidRPr="00335430">
              <w:rPr>
                <w:rFonts w:asciiTheme="minorHAnsi" w:eastAsiaTheme="minorHAnsi" w:hAnsiTheme="minorHAnsi" w:cstheme="minorHAnsi"/>
              </w:rPr>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59945316"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027E7DB"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440209" w14:textId="77777777" w:rsidR="00335430" w:rsidRPr="00335430" w:rsidRDefault="00335430" w:rsidP="00335430">
            <w:pPr>
              <w:spacing w:before="0" w:after="0" w:line="240" w:lineRule="auto"/>
              <w:ind w:left="1814" w:hanging="1722"/>
              <w:jc w:val="left"/>
              <w:rPr>
                <w:rFonts w:asciiTheme="minorHAnsi" w:eastAsiaTheme="minorHAnsi" w:hAnsiTheme="minorHAnsi" w:cstheme="minorHAnsi"/>
              </w:rPr>
            </w:pPr>
            <w:r w:rsidRPr="00335430">
              <w:rPr>
                <w:rFonts w:asciiTheme="minorHAnsi" w:eastAsiaTheme="minorHAnsi" w:hAnsiTheme="minorHAnsi" w:cstheme="minorHAnsi"/>
              </w:rPr>
              <w:t xml:space="preserve">Subclasse Subordinada </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0EC1A7"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0602348B"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F67B46" w14:textId="77777777" w:rsidR="00335430" w:rsidRPr="00335430" w:rsidRDefault="00335430" w:rsidP="00335430">
            <w:pPr>
              <w:spacing w:before="0" w:after="0" w:line="240" w:lineRule="auto"/>
              <w:ind w:left="2155" w:hanging="1212"/>
              <w:jc w:val="left"/>
              <w:rPr>
                <w:rFonts w:asciiTheme="minorHAnsi" w:eastAsiaTheme="minorHAnsi" w:hAnsiTheme="minorHAnsi" w:cstheme="minorHAnsi"/>
              </w:rPr>
            </w:pPr>
            <w:r w:rsidRPr="00335430">
              <w:rPr>
                <w:rFonts w:asciiTheme="minorHAnsi" w:eastAsiaTheme="minorHAnsi" w:hAnsiTheme="minorHAnsi" w:cstheme="minorHAnsi"/>
              </w:rPr>
              <w:t>Quantidade de Cotas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E4078B"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7D17D4E"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A67231" w14:textId="77777777" w:rsidR="00335430" w:rsidRPr="00335430" w:rsidRDefault="00335430" w:rsidP="00335430">
            <w:pPr>
              <w:spacing w:before="0" w:after="0" w:line="240" w:lineRule="auto"/>
              <w:ind w:left="2155" w:hanging="1212"/>
              <w:jc w:val="left"/>
              <w:rPr>
                <w:rFonts w:asciiTheme="minorHAnsi" w:eastAsiaTheme="minorHAnsi" w:hAnsiTheme="minorHAnsi" w:cstheme="minorHAnsi"/>
              </w:rPr>
            </w:pPr>
            <w:r w:rsidRPr="00335430">
              <w:rPr>
                <w:rFonts w:asciiTheme="minorHAnsi" w:eastAsiaTheme="minorHAnsi" w:hAnsiTheme="minorHAnsi" w:cstheme="minorHAnsi"/>
              </w:rPr>
              <w:t>Valor da Cota (R$)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779666"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D1E77C3"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C0E04B"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3) Rentabilidade Apurada no Mês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4469779C"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57E453F"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E53062"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Subclasse Sênior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7DF073"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20C476AD"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3330B8"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E0CA7A"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096673E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0981D9"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C721C0"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551B2472"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7944C0"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Série 3</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4F5FCD"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13826F20"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52159D"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13E69A"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6DB8BC42"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EDD58D"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Subclasse Subordinada Mezanino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263B2A"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4127DE8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1B0F82" w14:textId="77777777" w:rsidR="00335430" w:rsidRPr="00335430" w:rsidRDefault="00335430" w:rsidP="00335430">
            <w:pPr>
              <w:spacing w:before="0" w:after="0" w:line="240" w:lineRule="auto"/>
              <w:ind w:left="376" w:firstLine="0"/>
              <w:jc w:val="left"/>
              <w:rPr>
                <w:rFonts w:asciiTheme="minorHAnsi" w:eastAsiaTheme="minorHAnsi" w:hAnsiTheme="minorHAnsi" w:cstheme="minorHAnsi"/>
              </w:rPr>
            </w:pPr>
            <w:r w:rsidRPr="00335430">
              <w:rPr>
                <w:rFonts w:asciiTheme="minorHAnsi" w:eastAsiaTheme="minorHAnsi" w:hAnsiTheme="minorHAnsi" w:cstheme="minorHAnsi"/>
              </w:rPr>
              <w:t xml:space="preserve">Mezanino 1 </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EDED9"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3AA43BC1"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90EDFC"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06A993"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51A12E6C"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951C4D"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6B90DC"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75CD2EAC"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7ED1A8"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lastRenderedPageBreak/>
              <w:t>Série 3</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3DED81"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3EFF9E64"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848142"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 xml:space="preserve">... </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5F95B9"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1292953D"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6F6C4767" w14:textId="77777777" w:rsidR="00335430" w:rsidRPr="00335430" w:rsidRDefault="00335430" w:rsidP="00335430">
            <w:pPr>
              <w:spacing w:before="0" w:after="0" w:line="240" w:lineRule="auto"/>
              <w:ind w:left="708" w:hanging="191"/>
              <w:jc w:val="left"/>
              <w:rPr>
                <w:rFonts w:asciiTheme="minorHAnsi" w:eastAsiaTheme="minorHAnsi" w:hAnsiTheme="minorHAnsi" w:cstheme="minorHAnsi"/>
              </w:rPr>
            </w:pPr>
            <w:r w:rsidRPr="00335430">
              <w:rPr>
                <w:rFonts w:asciiTheme="minorHAnsi" w:eastAsiaTheme="minorHAnsi" w:hAnsiTheme="minorHAnsi" w:cstheme="minorHAnsi"/>
              </w:rPr>
              <w:t>Mezanino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27FC3BE5"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3CE470C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1C73FEDC"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2904EC28"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3A428924"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C76F9E"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11B466"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408D2C2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940CFC"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Série 3</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C2F065"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6753C93E"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E3CFBB"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 xml:space="preserve">... </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A4DA33"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077C1D31"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145C43E4"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Mezanino 3</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32A538AD"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3CAD10FC"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3F789A32"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10C04F40"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53B2045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715901"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7063D0"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4055D72E"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5D7F61"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Série 3</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EC9D27"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12F5A8C6"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2CDCD9" w14:textId="77777777" w:rsidR="00335430" w:rsidRPr="00335430" w:rsidRDefault="00335430" w:rsidP="00335430">
            <w:pPr>
              <w:spacing w:before="0" w:after="0" w:line="240" w:lineRule="auto"/>
              <w:ind w:left="851" w:firstLine="0"/>
              <w:jc w:val="left"/>
              <w:rPr>
                <w:rFonts w:asciiTheme="minorHAnsi" w:eastAsiaTheme="minorHAnsi" w:hAnsiTheme="minorHAnsi" w:cstheme="minorHAnsi"/>
              </w:rPr>
            </w:pPr>
            <w:r w:rsidRPr="00335430">
              <w:rPr>
                <w:rFonts w:asciiTheme="minorHAnsi" w:eastAsiaTheme="minorHAnsi" w:hAnsiTheme="minorHAnsi" w:cstheme="minorHAnsi"/>
              </w:rPr>
              <w:t xml:space="preserve">... </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214235"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FF0000"/>
              </w:rPr>
            </w:pPr>
          </w:p>
        </w:tc>
      </w:tr>
      <w:tr w:rsidR="00335430" w:rsidRPr="00335430" w14:paraId="6B0E687F"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586C46" w14:textId="77777777" w:rsidR="00335430" w:rsidRPr="00335430" w:rsidRDefault="00335430" w:rsidP="00335430">
            <w:pPr>
              <w:spacing w:before="0" w:after="0" w:line="240" w:lineRule="auto"/>
              <w:ind w:left="1416" w:hanging="1324"/>
              <w:jc w:val="left"/>
              <w:rPr>
                <w:rFonts w:asciiTheme="minorHAnsi" w:eastAsiaTheme="minorHAnsi" w:hAnsiTheme="minorHAnsi" w:cstheme="minorHAnsi"/>
              </w:rPr>
            </w:pPr>
            <w:r w:rsidRPr="00335430">
              <w:rPr>
                <w:rFonts w:asciiTheme="minorHAnsi" w:eastAsiaTheme="minorHAnsi" w:hAnsiTheme="minorHAnsi" w:cstheme="minorHAnsi"/>
              </w:rPr>
              <w:t>Subclasse Subordinada Junior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3EAA0C"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021D1D27"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CBBDAF" w14:textId="77777777" w:rsidR="00335430" w:rsidRPr="00335430" w:rsidRDefault="00335430" w:rsidP="00335430">
            <w:pPr>
              <w:spacing w:before="0" w:after="0" w:line="240" w:lineRule="auto"/>
              <w:ind w:firstLine="0"/>
              <w:jc w:val="left"/>
              <w:rPr>
                <w:rFonts w:asciiTheme="minorHAnsi" w:eastAsiaTheme="minorHAnsi" w:hAnsiTheme="minorHAnsi" w:cstheme="minorHAnsi"/>
                <w:b/>
              </w:rPr>
            </w:pPr>
            <w:r w:rsidRPr="00335430">
              <w:rPr>
                <w:rFonts w:asciiTheme="minorHAnsi" w:eastAsiaTheme="minorHAnsi" w:hAnsiTheme="minorHAnsi" w:cstheme="minorHAnsi"/>
              </w:rPr>
              <w:t>4) Captações, Resgates e Amortizações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7D38ABA0" w14:textId="77777777" w:rsidR="00335430" w:rsidRPr="00335430" w:rsidRDefault="00335430" w:rsidP="00335430">
            <w:pPr>
              <w:spacing w:before="0" w:after="0" w:line="240" w:lineRule="auto"/>
              <w:ind w:firstLine="0"/>
              <w:jc w:val="left"/>
              <w:rPr>
                <w:rFonts w:asciiTheme="minorHAnsi" w:eastAsiaTheme="minorHAnsi" w:hAnsiTheme="minorHAnsi" w:cstheme="minorHAnsi"/>
                <w:b/>
                <w:color w:val="632423"/>
              </w:rPr>
            </w:pPr>
          </w:p>
        </w:tc>
      </w:tr>
      <w:tr w:rsidR="00335430" w:rsidRPr="00335430" w14:paraId="71853F5D"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F416BE"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4.1) Captações no Mês (valor total captado, em R$, e quantidade de cotas emitidas)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194BFE"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8589D43"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DCC8CD"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4.1.1) Subclasse Sênior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10173E"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98D351B"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95D101"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800003"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31680BC5"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3B0142" w14:textId="77777777" w:rsidR="00335430" w:rsidRPr="00335430" w:rsidRDefault="00335430" w:rsidP="00335430">
            <w:pPr>
              <w:spacing w:before="0" w:after="0" w:line="240" w:lineRule="auto"/>
              <w:ind w:left="907" w:firstLine="319"/>
              <w:jc w:val="left"/>
              <w:rPr>
                <w:rFonts w:asciiTheme="minorHAnsi" w:eastAsiaTheme="minorHAnsi" w:hAnsiTheme="minorHAnsi" w:cstheme="minorHAnsi"/>
              </w:rPr>
            </w:pPr>
            <w:r w:rsidRPr="00335430">
              <w:rPr>
                <w:rFonts w:asciiTheme="minorHAnsi" w:eastAsiaTheme="minorHAnsi" w:hAnsiTheme="minorHAnsi" w:cstheme="minorHAnsi"/>
              </w:rPr>
              <w:t>Valor Total Captado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AC2083"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35003A5F"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9857A9" w14:textId="77777777" w:rsidR="00335430" w:rsidRPr="00335430" w:rsidRDefault="00335430" w:rsidP="00335430">
            <w:pPr>
              <w:spacing w:before="0" w:after="0" w:line="240" w:lineRule="auto"/>
              <w:ind w:left="907" w:firstLine="319"/>
              <w:jc w:val="left"/>
              <w:rPr>
                <w:rFonts w:asciiTheme="minorHAnsi" w:eastAsiaTheme="minorHAnsi" w:hAnsiTheme="minorHAnsi" w:cstheme="minorHAnsi"/>
              </w:rPr>
            </w:pPr>
            <w:r w:rsidRPr="00335430">
              <w:rPr>
                <w:rFonts w:asciiTheme="minorHAnsi" w:eastAsiaTheme="minorHAnsi" w:hAnsiTheme="minorHAnsi" w:cstheme="minorHAnsi"/>
              </w:rPr>
              <w:t>Quantidade de Cotas Emitidas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67D918"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017C35B6"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CC2161" w14:textId="77777777" w:rsidR="00335430" w:rsidRPr="00335430" w:rsidRDefault="00335430" w:rsidP="00335430">
            <w:pPr>
              <w:spacing w:before="0" w:after="0" w:line="240" w:lineRule="auto"/>
              <w:ind w:left="1247" w:hanging="446"/>
              <w:jc w:val="left"/>
              <w:rPr>
                <w:rFonts w:asciiTheme="minorHAnsi" w:eastAsiaTheme="minorHAnsi" w:hAnsiTheme="minorHAnsi" w:cstheme="minorHAnsi"/>
              </w:rPr>
            </w:pPr>
            <w:r w:rsidRPr="00335430">
              <w:rPr>
                <w:rFonts w:asciiTheme="minorHAnsi" w:eastAsiaTheme="minorHAnsi" w:hAnsiTheme="minorHAnsi" w:cstheme="minorHAnsi"/>
              </w:rPr>
              <w:t>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298266"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605258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253281" w14:textId="77777777" w:rsidR="00335430" w:rsidRPr="00335430" w:rsidRDefault="00335430" w:rsidP="00335430">
            <w:pPr>
              <w:spacing w:before="0" w:after="0" w:line="240" w:lineRule="auto"/>
              <w:ind w:firstLine="1226"/>
              <w:jc w:val="left"/>
              <w:rPr>
                <w:rFonts w:asciiTheme="minorHAnsi" w:eastAsiaTheme="minorHAnsi" w:hAnsiTheme="minorHAnsi" w:cstheme="minorHAnsi"/>
              </w:rPr>
            </w:pPr>
            <w:r w:rsidRPr="00335430">
              <w:rPr>
                <w:rFonts w:asciiTheme="minorHAnsi" w:eastAsiaTheme="minorHAnsi" w:hAnsiTheme="minorHAnsi" w:cstheme="minorHAnsi"/>
              </w:rPr>
              <w:t>Valor Total Captado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0F38DC"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96BE5E7"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7D86DB" w14:textId="77777777" w:rsidR="00335430" w:rsidRPr="00335430" w:rsidRDefault="00335430" w:rsidP="00335430">
            <w:pPr>
              <w:spacing w:before="0" w:after="0" w:line="240" w:lineRule="auto"/>
              <w:ind w:firstLine="1226"/>
              <w:jc w:val="left"/>
              <w:rPr>
                <w:rFonts w:asciiTheme="minorHAnsi" w:eastAsiaTheme="minorHAnsi" w:hAnsiTheme="minorHAnsi" w:cstheme="minorHAnsi"/>
              </w:rPr>
            </w:pPr>
            <w:r w:rsidRPr="00335430">
              <w:rPr>
                <w:rFonts w:asciiTheme="minorHAnsi" w:eastAsiaTheme="minorHAnsi" w:hAnsiTheme="minorHAnsi" w:cstheme="minorHAnsi"/>
              </w:rPr>
              <w:t>Quantidade de Cotas Emitidas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AB5F18"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4B04505"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5B5F7BA6"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79177A00"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5882BCD2"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547D66"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4.1.2) Subclasse Subordinada Mezanino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5B8ED1"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42FB770C"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929669" w14:textId="77777777" w:rsidR="00335430" w:rsidRPr="00335430" w:rsidRDefault="00335430" w:rsidP="00335430">
            <w:pPr>
              <w:spacing w:before="0" w:after="0" w:line="240" w:lineRule="auto"/>
              <w:ind w:left="376" w:firstLine="283"/>
              <w:jc w:val="left"/>
              <w:rPr>
                <w:rFonts w:asciiTheme="minorHAnsi" w:eastAsiaTheme="minorHAnsi" w:hAnsiTheme="minorHAnsi" w:cstheme="minorHAnsi"/>
              </w:rPr>
            </w:pPr>
            <w:r w:rsidRPr="00335430">
              <w:rPr>
                <w:rFonts w:asciiTheme="minorHAnsi" w:eastAsiaTheme="minorHAnsi" w:hAnsiTheme="minorHAnsi" w:cstheme="minorHAnsi"/>
              </w:rPr>
              <w:t xml:space="preserve">Mezanino 1 </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A116FB"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D81AA32"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12D55C" w14:textId="77777777" w:rsidR="00335430" w:rsidRPr="00335430" w:rsidRDefault="00335430" w:rsidP="00335430">
            <w:pPr>
              <w:spacing w:before="0" w:after="0" w:line="240" w:lineRule="auto"/>
              <w:ind w:left="708" w:firstLine="93"/>
              <w:jc w:val="left"/>
              <w:rPr>
                <w:rFonts w:asciiTheme="minorHAnsi" w:eastAsiaTheme="minorHAnsi" w:hAnsiTheme="minorHAnsi" w:cstheme="minorHAnsi"/>
              </w:rPr>
            </w:pPr>
            <w:r w:rsidRPr="00335430">
              <w:rPr>
                <w:rFonts w:asciiTheme="minorHAnsi" w:eastAsiaTheme="minorHAnsi" w:hAnsiTheme="minorHAnsi" w:cstheme="minorHAnsi"/>
              </w:rPr>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9007A3"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4C49A01"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6AF98F" w14:textId="77777777" w:rsidR="00335430" w:rsidRPr="00335430" w:rsidRDefault="00335430" w:rsidP="00335430">
            <w:pPr>
              <w:spacing w:before="0" w:after="0" w:line="240" w:lineRule="auto"/>
              <w:ind w:left="907" w:firstLine="0"/>
              <w:jc w:val="left"/>
              <w:rPr>
                <w:rFonts w:asciiTheme="minorHAnsi" w:eastAsiaTheme="minorHAnsi" w:hAnsiTheme="minorHAnsi" w:cstheme="minorHAnsi"/>
              </w:rPr>
            </w:pPr>
            <w:r w:rsidRPr="00335430">
              <w:rPr>
                <w:rFonts w:asciiTheme="minorHAnsi" w:eastAsiaTheme="minorHAnsi" w:hAnsiTheme="minorHAnsi" w:cstheme="minorHAnsi"/>
              </w:rPr>
              <w:t>Valor Total Captado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F4C209"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A529972"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54DDD2" w14:textId="77777777" w:rsidR="00335430" w:rsidRPr="00335430" w:rsidRDefault="00335430" w:rsidP="00335430">
            <w:pPr>
              <w:spacing w:before="0" w:after="0" w:line="240" w:lineRule="auto"/>
              <w:ind w:left="907" w:firstLine="0"/>
              <w:jc w:val="left"/>
              <w:rPr>
                <w:rFonts w:asciiTheme="minorHAnsi" w:eastAsiaTheme="minorHAnsi" w:hAnsiTheme="minorHAnsi" w:cstheme="minorHAnsi"/>
              </w:rPr>
            </w:pPr>
            <w:r w:rsidRPr="00335430">
              <w:rPr>
                <w:rFonts w:asciiTheme="minorHAnsi" w:eastAsiaTheme="minorHAnsi" w:hAnsiTheme="minorHAnsi" w:cstheme="minorHAnsi"/>
              </w:rPr>
              <w:t>Quantidade de Cotas Emitidas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CEA9BD"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58F48AC"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D55F76" w14:textId="77777777" w:rsidR="00335430" w:rsidRPr="00335430" w:rsidRDefault="00335430" w:rsidP="00335430">
            <w:pPr>
              <w:spacing w:before="0" w:after="0" w:line="240" w:lineRule="auto"/>
              <w:ind w:left="1247" w:hanging="446"/>
              <w:jc w:val="left"/>
              <w:rPr>
                <w:rFonts w:asciiTheme="minorHAnsi" w:eastAsiaTheme="minorHAnsi" w:hAnsiTheme="minorHAnsi" w:cstheme="minorHAnsi"/>
              </w:rPr>
            </w:pPr>
            <w:r w:rsidRPr="00335430">
              <w:rPr>
                <w:rFonts w:asciiTheme="minorHAnsi" w:eastAsiaTheme="minorHAnsi" w:hAnsiTheme="minorHAnsi" w:cstheme="minorHAnsi"/>
              </w:rPr>
              <w:t>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DBC22C9"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657F1E52"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E3A530" w14:textId="77777777" w:rsidR="00335430" w:rsidRPr="00335430" w:rsidRDefault="00335430" w:rsidP="00335430">
            <w:pPr>
              <w:spacing w:before="0" w:after="0" w:line="240" w:lineRule="auto"/>
              <w:ind w:left="1416" w:hanging="473"/>
              <w:jc w:val="left"/>
              <w:rPr>
                <w:rFonts w:asciiTheme="minorHAnsi" w:eastAsiaTheme="minorHAnsi" w:hAnsiTheme="minorHAnsi" w:cstheme="minorHAnsi"/>
              </w:rPr>
            </w:pPr>
            <w:r w:rsidRPr="00335430">
              <w:rPr>
                <w:rFonts w:asciiTheme="minorHAnsi" w:eastAsiaTheme="minorHAnsi" w:hAnsiTheme="minorHAnsi" w:cstheme="minorHAnsi"/>
              </w:rPr>
              <w:lastRenderedPageBreak/>
              <w:t>Valor Total Captado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44C67B"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436ACAB9"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BB0E1F" w14:textId="77777777" w:rsidR="00335430" w:rsidRPr="00335430" w:rsidRDefault="00335430" w:rsidP="00335430">
            <w:pPr>
              <w:spacing w:before="0" w:after="0" w:line="240" w:lineRule="auto"/>
              <w:ind w:left="1416" w:hanging="473"/>
              <w:jc w:val="left"/>
              <w:rPr>
                <w:rFonts w:asciiTheme="minorHAnsi" w:eastAsiaTheme="minorHAnsi" w:hAnsiTheme="minorHAnsi" w:cstheme="minorHAnsi"/>
              </w:rPr>
            </w:pPr>
            <w:r w:rsidRPr="00335430">
              <w:rPr>
                <w:rFonts w:asciiTheme="minorHAnsi" w:eastAsiaTheme="minorHAnsi" w:hAnsiTheme="minorHAnsi" w:cstheme="minorHAnsi"/>
              </w:rPr>
              <w:t>Quantidade de Cotas Emitidas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19AF67"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41FBC984"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72EFFFE8" w14:textId="77777777" w:rsidR="00335430" w:rsidRPr="00335430" w:rsidRDefault="00335430" w:rsidP="00335430">
            <w:pPr>
              <w:spacing w:before="0" w:after="0" w:line="240" w:lineRule="auto"/>
              <w:ind w:left="376" w:firstLine="283"/>
              <w:jc w:val="left"/>
              <w:rPr>
                <w:rFonts w:asciiTheme="minorHAnsi" w:eastAsiaTheme="minorHAnsi" w:hAnsiTheme="minorHAnsi" w:cstheme="minorHAnsi"/>
              </w:rPr>
            </w:pPr>
            <w:r w:rsidRPr="00335430">
              <w:rPr>
                <w:rFonts w:asciiTheme="minorHAnsi" w:eastAsiaTheme="minorHAnsi" w:hAnsiTheme="minorHAnsi" w:cstheme="minorHAnsi"/>
              </w:rPr>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7C396C47"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0B1D40CB"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736EB22E" w14:textId="77777777" w:rsidR="00335430" w:rsidRPr="00335430" w:rsidRDefault="00335430" w:rsidP="00335430">
            <w:pPr>
              <w:spacing w:before="0" w:after="0" w:line="240" w:lineRule="auto"/>
              <w:ind w:left="376" w:firstLine="283"/>
              <w:jc w:val="left"/>
              <w:rPr>
                <w:rFonts w:asciiTheme="minorHAnsi" w:eastAsiaTheme="minorHAnsi" w:hAnsiTheme="minorHAnsi" w:cstheme="minorHAnsi"/>
              </w:rPr>
            </w:pPr>
            <w:r w:rsidRPr="00335430">
              <w:rPr>
                <w:rFonts w:asciiTheme="minorHAnsi" w:eastAsiaTheme="minorHAnsi" w:hAnsiTheme="minorHAnsi" w:cstheme="minorHAnsi"/>
              </w:rPr>
              <w:t xml:space="preserve">Mezanino 2 </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78B677C2"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57DA372A"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7C4B7433" w14:textId="77777777" w:rsidR="00335430" w:rsidRPr="00335430" w:rsidRDefault="00335430" w:rsidP="00335430">
            <w:pPr>
              <w:spacing w:before="0" w:after="0" w:line="240" w:lineRule="auto"/>
              <w:ind w:left="708" w:firstLine="93"/>
              <w:jc w:val="left"/>
              <w:rPr>
                <w:rFonts w:asciiTheme="minorHAnsi" w:eastAsiaTheme="minorHAnsi" w:hAnsiTheme="minorHAnsi" w:cstheme="minorHAnsi"/>
              </w:rPr>
            </w:pPr>
            <w:r w:rsidRPr="00335430">
              <w:rPr>
                <w:rFonts w:asciiTheme="minorHAnsi" w:eastAsiaTheme="minorHAnsi" w:hAnsiTheme="minorHAnsi" w:cstheme="minorHAnsi"/>
              </w:rPr>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75B5BB2A"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F8730E0"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6983184D" w14:textId="77777777" w:rsidR="00335430" w:rsidRPr="00335430" w:rsidRDefault="00335430" w:rsidP="00335430">
            <w:pPr>
              <w:spacing w:before="0" w:after="0" w:line="240" w:lineRule="auto"/>
              <w:ind w:left="907" w:firstLine="0"/>
              <w:jc w:val="left"/>
              <w:rPr>
                <w:rFonts w:asciiTheme="minorHAnsi" w:eastAsiaTheme="minorHAnsi" w:hAnsiTheme="minorHAnsi" w:cstheme="minorHAnsi"/>
              </w:rPr>
            </w:pPr>
            <w:r w:rsidRPr="00335430">
              <w:rPr>
                <w:rFonts w:asciiTheme="minorHAnsi" w:eastAsiaTheme="minorHAnsi" w:hAnsiTheme="minorHAnsi" w:cstheme="minorHAnsi"/>
              </w:rPr>
              <w:t>Valor Total Captado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65483E34"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7C5D9E2"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206ACF01" w14:textId="77777777" w:rsidR="00335430" w:rsidRPr="00335430" w:rsidRDefault="00335430" w:rsidP="00335430">
            <w:pPr>
              <w:spacing w:before="0" w:after="0" w:line="240" w:lineRule="auto"/>
              <w:ind w:left="907" w:firstLine="0"/>
              <w:jc w:val="left"/>
              <w:rPr>
                <w:rFonts w:asciiTheme="minorHAnsi" w:eastAsiaTheme="minorHAnsi" w:hAnsiTheme="minorHAnsi" w:cstheme="minorHAnsi"/>
              </w:rPr>
            </w:pPr>
            <w:r w:rsidRPr="00335430">
              <w:rPr>
                <w:rFonts w:asciiTheme="minorHAnsi" w:eastAsiaTheme="minorHAnsi" w:hAnsiTheme="minorHAnsi" w:cstheme="minorHAnsi"/>
              </w:rPr>
              <w:t>Quantidade de Cotas Emitidas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3C9413BC"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368AB12C"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1C446AA0" w14:textId="77777777" w:rsidR="00335430" w:rsidRPr="00335430" w:rsidRDefault="00335430" w:rsidP="00335430">
            <w:pPr>
              <w:spacing w:before="0" w:after="0" w:line="240" w:lineRule="auto"/>
              <w:ind w:left="1247" w:hanging="446"/>
              <w:jc w:val="left"/>
              <w:rPr>
                <w:rFonts w:asciiTheme="minorHAnsi" w:eastAsiaTheme="minorHAnsi" w:hAnsiTheme="minorHAnsi" w:cstheme="minorHAnsi"/>
              </w:rPr>
            </w:pPr>
            <w:r w:rsidRPr="00335430">
              <w:rPr>
                <w:rFonts w:asciiTheme="minorHAnsi" w:eastAsiaTheme="minorHAnsi" w:hAnsiTheme="minorHAnsi" w:cstheme="minorHAnsi"/>
              </w:rPr>
              <w:t>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07BB4675"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562DB8F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01BBC772" w14:textId="77777777" w:rsidR="00335430" w:rsidRPr="00335430" w:rsidRDefault="00335430" w:rsidP="00335430">
            <w:pPr>
              <w:spacing w:before="0" w:after="0" w:line="240" w:lineRule="auto"/>
              <w:ind w:left="1416" w:hanging="473"/>
              <w:jc w:val="left"/>
              <w:rPr>
                <w:rFonts w:asciiTheme="minorHAnsi" w:eastAsiaTheme="minorHAnsi" w:hAnsiTheme="minorHAnsi" w:cstheme="minorHAnsi"/>
              </w:rPr>
            </w:pPr>
            <w:r w:rsidRPr="00335430">
              <w:rPr>
                <w:rFonts w:asciiTheme="minorHAnsi" w:eastAsiaTheme="minorHAnsi" w:hAnsiTheme="minorHAnsi" w:cstheme="minorHAnsi"/>
              </w:rPr>
              <w:t>Valor Total Captado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1BDF0774"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63199D04"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331DEC0B" w14:textId="77777777" w:rsidR="00335430" w:rsidRPr="00335430" w:rsidRDefault="00335430" w:rsidP="00335430">
            <w:pPr>
              <w:spacing w:before="0" w:after="0" w:line="240" w:lineRule="auto"/>
              <w:ind w:left="1416" w:hanging="473"/>
              <w:jc w:val="left"/>
              <w:rPr>
                <w:rFonts w:asciiTheme="minorHAnsi" w:eastAsiaTheme="minorHAnsi" w:hAnsiTheme="minorHAnsi" w:cstheme="minorHAnsi"/>
              </w:rPr>
            </w:pPr>
            <w:r w:rsidRPr="00335430">
              <w:rPr>
                <w:rFonts w:asciiTheme="minorHAnsi" w:eastAsiaTheme="minorHAnsi" w:hAnsiTheme="minorHAnsi" w:cstheme="minorHAnsi"/>
              </w:rPr>
              <w:t>Quantidade de Cotas Emitidas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1DF535B2"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6D84627"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68A99ADC"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4DA6E627"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27FBC45"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0813CC"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4.1.3) Subclasse Subordinada</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EC337B"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14B004A"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667196" w14:textId="77777777" w:rsidR="00335430" w:rsidRPr="00335430" w:rsidRDefault="00335430" w:rsidP="00335430">
            <w:pPr>
              <w:spacing w:before="0" w:after="0" w:line="240" w:lineRule="auto"/>
              <w:ind w:left="1758" w:hanging="674"/>
              <w:jc w:val="left"/>
              <w:rPr>
                <w:rFonts w:asciiTheme="minorHAnsi" w:eastAsiaTheme="minorHAnsi" w:hAnsiTheme="minorHAnsi" w:cstheme="minorHAnsi"/>
              </w:rPr>
            </w:pPr>
            <w:r w:rsidRPr="00335430">
              <w:rPr>
                <w:rFonts w:asciiTheme="minorHAnsi" w:eastAsiaTheme="minorHAnsi" w:hAnsiTheme="minorHAnsi" w:cstheme="minorHAnsi"/>
              </w:rPr>
              <w:t>Valor Total Captado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203983"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761DD37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56E0BB" w14:textId="77777777" w:rsidR="00335430" w:rsidRPr="00335430" w:rsidRDefault="00335430" w:rsidP="00335430">
            <w:pPr>
              <w:spacing w:before="0" w:after="0" w:line="240" w:lineRule="auto"/>
              <w:ind w:left="1758" w:hanging="674"/>
              <w:jc w:val="left"/>
              <w:rPr>
                <w:rFonts w:asciiTheme="minorHAnsi" w:eastAsiaTheme="minorHAnsi" w:hAnsiTheme="minorHAnsi" w:cstheme="minorHAnsi"/>
              </w:rPr>
            </w:pPr>
            <w:r w:rsidRPr="00335430">
              <w:rPr>
                <w:rFonts w:asciiTheme="minorHAnsi" w:eastAsiaTheme="minorHAnsi" w:hAnsiTheme="minorHAnsi" w:cstheme="minorHAnsi"/>
              </w:rPr>
              <w:t>Quantidade de Cotas Emitidas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F8067D"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43BF4A5"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4693F5"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4.2) Resgates no Mês (FIDC aberto - quantidade de cotas resgatadas e valor total do resgate, em 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A71777"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8CBE3F7"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250B32"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4.2.1) Subclasse Sênior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2B7247"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0009F7D5"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F529DC" w14:textId="77777777" w:rsidR="00335430" w:rsidRPr="00335430" w:rsidRDefault="00335430" w:rsidP="00335430">
            <w:pPr>
              <w:spacing w:before="0" w:after="0" w:line="240" w:lineRule="auto"/>
              <w:ind w:left="708" w:firstLine="660"/>
              <w:jc w:val="left"/>
              <w:rPr>
                <w:rFonts w:asciiTheme="minorHAnsi" w:eastAsiaTheme="minorHAnsi" w:hAnsiTheme="minorHAnsi" w:cstheme="minorHAnsi"/>
              </w:rPr>
            </w:pPr>
            <w:r w:rsidRPr="00335430">
              <w:rPr>
                <w:rFonts w:asciiTheme="minorHAnsi" w:eastAsiaTheme="minorHAnsi" w:hAnsiTheme="minorHAnsi" w:cstheme="minorHAnsi"/>
              </w:rPr>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53C06D"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4218D2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755EE1" w14:textId="77777777" w:rsidR="00335430" w:rsidRPr="00335430" w:rsidRDefault="00335430" w:rsidP="00335430">
            <w:pPr>
              <w:spacing w:before="0" w:after="0" w:line="240" w:lineRule="auto"/>
              <w:ind w:left="907" w:firstLine="660"/>
              <w:jc w:val="left"/>
              <w:rPr>
                <w:rFonts w:asciiTheme="minorHAnsi" w:eastAsiaTheme="minorHAnsi" w:hAnsiTheme="minorHAnsi" w:cstheme="minorHAnsi"/>
              </w:rPr>
            </w:pPr>
            <w:r w:rsidRPr="00335430">
              <w:rPr>
                <w:rFonts w:asciiTheme="minorHAnsi" w:eastAsiaTheme="minorHAnsi" w:hAnsiTheme="minorHAnsi" w:cstheme="minorHAnsi"/>
              </w:rPr>
              <w:t>Valor Total dos Resgates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C58F91"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B1CF9F7"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30F2E0" w14:textId="77777777" w:rsidR="00335430" w:rsidRPr="00335430" w:rsidRDefault="00335430" w:rsidP="00335430">
            <w:pPr>
              <w:spacing w:before="0" w:after="0" w:line="240" w:lineRule="auto"/>
              <w:ind w:left="907" w:firstLine="660"/>
              <w:jc w:val="left"/>
              <w:rPr>
                <w:rFonts w:asciiTheme="minorHAnsi" w:eastAsiaTheme="minorHAnsi" w:hAnsiTheme="minorHAnsi" w:cstheme="minorHAnsi"/>
              </w:rPr>
            </w:pPr>
            <w:r w:rsidRPr="00335430">
              <w:rPr>
                <w:rFonts w:asciiTheme="minorHAnsi" w:eastAsiaTheme="minorHAnsi" w:hAnsiTheme="minorHAnsi" w:cstheme="minorHAnsi"/>
              </w:rPr>
              <w:t>Quantidade de Cotas Resgatadas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E24FD3"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64886F0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AE47EE" w14:textId="77777777" w:rsidR="00335430" w:rsidRPr="00335430" w:rsidRDefault="00335430" w:rsidP="00335430">
            <w:pPr>
              <w:spacing w:before="0" w:after="0" w:line="240" w:lineRule="auto"/>
              <w:ind w:left="1247" w:firstLine="121"/>
              <w:jc w:val="left"/>
              <w:rPr>
                <w:rFonts w:asciiTheme="minorHAnsi" w:eastAsiaTheme="minorHAnsi" w:hAnsiTheme="minorHAnsi" w:cstheme="minorHAnsi"/>
              </w:rPr>
            </w:pPr>
            <w:r w:rsidRPr="00335430">
              <w:rPr>
                <w:rFonts w:asciiTheme="minorHAnsi" w:eastAsiaTheme="minorHAnsi" w:hAnsiTheme="minorHAnsi" w:cstheme="minorHAnsi"/>
              </w:rPr>
              <w:t>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0A4F13"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38E48174"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186BA8" w14:textId="77777777" w:rsidR="00335430" w:rsidRPr="00335430" w:rsidRDefault="00335430" w:rsidP="00335430">
            <w:pPr>
              <w:spacing w:before="0" w:after="0" w:line="240" w:lineRule="auto"/>
              <w:ind w:left="907" w:firstLine="744"/>
              <w:jc w:val="left"/>
              <w:rPr>
                <w:rFonts w:asciiTheme="minorHAnsi" w:eastAsiaTheme="minorHAnsi" w:hAnsiTheme="minorHAnsi" w:cstheme="minorHAnsi"/>
              </w:rPr>
            </w:pPr>
            <w:r w:rsidRPr="00335430">
              <w:rPr>
                <w:rFonts w:asciiTheme="minorHAnsi" w:eastAsiaTheme="minorHAnsi" w:hAnsiTheme="minorHAnsi" w:cstheme="minorHAnsi"/>
              </w:rPr>
              <w:t>Valor Total dos Resgates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E6FF80"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334A372B"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72293" w14:textId="77777777" w:rsidR="00335430" w:rsidRPr="00335430" w:rsidRDefault="00335430" w:rsidP="00335430">
            <w:pPr>
              <w:spacing w:before="0" w:after="0" w:line="240" w:lineRule="auto"/>
              <w:ind w:left="907" w:firstLine="744"/>
              <w:jc w:val="left"/>
              <w:rPr>
                <w:rFonts w:asciiTheme="minorHAnsi" w:eastAsiaTheme="minorHAnsi" w:hAnsiTheme="minorHAnsi" w:cstheme="minorHAnsi"/>
              </w:rPr>
            </w:pPr>
            <w:r w:rsidRPr="00335430">
              <w:rPr>
                <w:rFonts w:asciiTheme="minorHAnsi" w:eastAsiaTheme="minorHAnsi" w:hAnsiTheme="minorHAnsi" w:cstheme="minorHAnsi"/>
              </w:rPr>
              <w:t>Quantidade de Cotas Resgatadas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0621C5"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16294DC"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413333BA" w14:textId="77777777" w:rsidR="00335430" w:rsidRPr="00335430" w:rsidRDefault="00335430" w:rsidP="00335430">
            <w:pPr>
              <w:spacing w:before="0" w:after="0" w:line="240" w:lineRule="auto"/>
              <w:ind w:left="708" w:firstLine="660"/>
              <w:jc w:val="left"/>
              <w:rPr>
                <w:rFonts w:asciiTheme="minorHAnsi" w:eastAsiaTheme="minorHAnsi" w:hAnsiTheme="minorHAnsi" w:cstheme="minorHAnsi"/>
              </w:rPr>
            </w:pPr>
            <w:r w:rsidRPr="00335430">
              <w:rPr>
                <w:rFonts w:asciiTheme="minorHAnsi" w:eastAsiaTheme="minorHAnsi" w:hAnsiTheme="minorHAnsi" w:cstheme="minorHAnsi"/>
              </w:rPr>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64544EDE"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07E981A4"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F57937"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4.2.2) Subclasse Subordinada Mezanino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37FCCA"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310B3B2E"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1F2328" w14:textId="77777777" w:rsidR="00335430" w:rsidRPr="00335430" w:rsidRDefault="00335430" w:rsidP="00335430">
            <w:pPr>
              <w:spacing w:before="0" w:after="0" w:line="240" w:lineRule="auto"/>
              <w:ind w:left="708" w:firstLine="660"/>
              <w:jc w:val="left"/>
              <w:rPr>
                <w:rFonts w:asciiTheme="minorHAnsi" w:eastAsiaTheme="minorHAnsi" w:hAnsiTheme="minorHAnsi" w:cstheme="minorHAnsi"/>
              </w:rPr>
            </w:pPr>
            <w:r w:rsidRPr="00335430">
              <w:rPr>
                <w:rFonts w:asciiTheme="minorHAnsi" w:eastAsiaTheme="minorHAnsi" w:hAnsiTheme="minorHAnsi" w:cstheme="minorHAnsi"/>
              </w:rPr>
              <w:t>Mezanino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94804F"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57637B16"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16EA1D71" w14:textId="77777777" w:rsidR="00335430" w:rsidRPr="00335430" w:rsidRDefault="00335430" w:rsidP="00335430">
            <w:pPr>
              <w:spacing w:before="0" w:after="0" w:line="240" w:lineRule="auto"/>
              <w:ind w:left="907" w:firstLine="461"/>
              <w:jc w:val="left"/>
              <w:rPr>
                <w:rFonts w:asciiTheme="minorHAnsi" w:eastAsiaTheme="minorHAnsi" w:hAnsiTheme="minorHAnsi" w:cstheme="minorHAnsi"/>
              </w:rPr>
            </w:pPr>
            <w:r w:rsidRPr="00335430">
              <w:rPr>
                <w:rFonts w:asciiTheme="minorHAnsi" w:eastAsiaTheme="minorHAnsi" w:hAnsiTheme="minorHAnsi" w:cstheme="minorHAnsi"/>
              </w:rPr>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2E7847B3"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028F7BA9"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75EBC3" w14:textId="77777777" w:rsidR="00335430" w:rsidRPr="00335430" w:rsidRDefault="00335430" w:rsidP="00335430">
            <w:pPr>
              <w:spacing w:before="0" w:after="0" w:line="240" w:lineRule="auto"/>
              <w:ind w:left="907" w:firstLine="886"/>
              <w:jc w:val="left"/>
              <w:rPr>
                <w:rFonts w:asciiTheme="minorHAnsi" w:eastAsiaTheme="minorHAnsi" w:hAnsiTheme="minorHAnsi" w:cstheme="minorHAnsi"/>
              </w:rPr>
            </w:pPr>
            <w:r w:rsidRPr="00335430">
              <w:rPr>
                <w:rFonts w:asciiTheme="minorHAnsi" w:eastAsiaTheme="minorHAnsi" w:hAnsiTheme="minorHAnsi" w:cstheme="minorHAnsi"/>
              </w:rPr>
              <w:t>Valor Total dos Resgates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E2597B"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60C07A91"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7A9CE" w14:textId="77777777" w:rsidR="00335430" w:rsidRPr="00335430" w:rsidRDefault="00335430" w:rsidP="00335430">
            <w:pPr>
              <w:spacing w:before="0" w:after="0" w:line="240" w:lineRule="auto"/>
              <w:ind w:left="907" w:firstLine="886"/>
              <w:jc w:val="left"/>
              <w:rPr>
                <w:rFonts w:asciiTheme="minorHAnsi" w:eastAsiaTheme="minorHAnsi" w:hAnsiTheme="minorHAnsi" w:cstheme="minorHAnsi"/>
              </w:rPr>
            </w:pPr>
            <w:r w:rsidRPr="00335430">
              <w:rPr>
                <w:rFonts w:asciiTheme="minorHAnsi" w:eastAsiaTheme="minorHAnsi" w:hAnsiTheme="minorHAnsi" w:cstheme="minorHAnsi"/>
              </w:rPr>
              <w:t>Quantidade de Cotas Resgatadas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8A3282"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5E5532C4"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2B089B" w14:textId="77777777" w:rsidR="00335430" w:rsidRPr="00335430" w:rsidRDefault="00335430" w:rsidP="00335430">
            <w:pPr>
              <w:spacing w:before="0" w:after="0" w:line="240" w:lineRule="auto"/>
              <w:ind w:firstLine="1368"/>
              <w:jc w:val="left"/>
              <w:rPr>
                <w:rFonts w:asciiTheme="minorHAnsi" w:eastAsiaTheme="minorHAnsi" w:hAnsiTheme="minorHAnsi" w:cstheme="minorHAnsi"/>
              </w:rPr>
            </w:pPr>
            <w:r w:rsidRPr="00335430">
              <w:rPr>
                <w:rFonts w:asciiTheme="minorHAnsi" w:eastAsiaTheme="minorHAnsi" w:hAnsiTheme="minorHAnsi" w:cstheme="minorHAnsi"/>
              </w:rPr>
              <w:t>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F60CC8"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3CD537A4"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896871" w14:textId="77777777" w:rsidR="00335430" w:rsidRPr="00335430" w:rsidRDefault="00335430" w:rsidP="00335430">
            <w:pPr>
              <w:spacing w:before="0" w:after="0" w:line="240" w:lineRule="auto"/>
              <w:ind w:left="1416" w:firstLine="377"/>
              <w:jc w:val="left"/>
              <w:rPr>
                <w:rFonts w:asciiTheme="minorHAnsi" w:eastAsiaTheme="minorHAnsi" w:hAnsiTheme="minorHAnsi" w:cstheme="minorHAnsi"/>
              </w:rPr>
            </w:pPr>
            <w:r w:rsidRPr="00335430">
              <w:rPr>
                <w:rFonts w:asciiTheme="minorHAnsi" w:eastAsiaTheme="minorHAnsi" w:hAnsiTheme="minorHAnsi" w:cstheme="minorHAnsi"/>
              </w:rPr>
              <w:lastRenderedPageBreak/>
              <w:t>Valor Total dos Resgates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8655C"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5B858B73"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C4516A" w14:textId="77777777" w:rsidR="00335430" w:rsidRPr="00335430" w:rsidRDefault="00335430" w:rsidP="00335430">
            <w:pPr>
              <w:spacing w:before="0" w:after="0" w:line="240" w:lineRule="auto"/>
              <w:ind w:left="1416" w:firstLine="377"/>
              <w:jc w:val="left"/>
              <w:rPr>
                <w:rFonts w:asciiTheme="minorHAnsi" w:eastAsiaTheme="minorHAnsi" w:hAnsiTheme="minorHAnsi" w:cstheme="minorHAnsi"/>
              </w:rPr>
            </w:pPr>
            <w:r w:rsidRPr="00335430">
              <w:rPr>
                <w:rFonts w:asciiTheme="minorHAnsi" w:eastAsiaTheme="minorHAnsi" w:hAnsiTheme="minorHAnsi" w:cstheme="minorHAnsi"/>
              </w:rPr>
              <w:t>Quantidade de Cotas Resgatadas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742A3F"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72F6F7C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2D43AF71" w14:textId="77777777" w:rsidR="00335430" w:rsidRPr="00335430" w:rsidRDefault="00335430" w:rsidP="00335430">
            <w:pPr>
              <w:spacing w:before="0" w:after="0" w:line="240" w:lineRule="auto"/>
              <w:ind w:left="1588" w:hanging="220"/>
              <w:jc w:val="left"/>
              <w:rPr>
                <w:rFonts w:asciiTheme="minorHAnsi" w:eastAsiaTheme="minorHAnsi" w:hAnsiTheme="minorHAnsi" w:cstheme="minorHAnsi"/>
              </w:rPr>
            </w:pPr>
            <w:r w:rsidRPr="00335430">
              <w:rPr>
                <w:rFonts w:asciiTheme="minorHAnsi" w:eastAsiaTheme="minorHAnsi" w:hAnsiTheme="minorHAnsi" w:cstheme="minorHAnsi"/>
              </w:rPr>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18AE54C6"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467BE386"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8CBB48" w14:textId="77777777" w:rsidR="00335430" w:rsidRPr="00335430" w:rsidRDefault="00335430" w:rsidP="00335430">
            <w:pPr>
              <w:spacing w:before="0" w:after="0" w:line="240" w:lineRule="auto"/>
              <w:ind w:left="1588" w:hanging="220"/>
              <w:jc w:val="left"/>
              <w:rPr>
                <w:rFonts w:asciiTheme="minorHAnsi" w:eastAsiaTheme="minorHAnsi" w:hAnsiTheme="minorHAnsi" w:cstheme="minorHAnsi"/>
              </w:rPr>
            </w:pPr>
            <w:r w:rsidRPr="00335430">
              <w:rPr>
                <w:rFonts w:asciiTheme="minorHAnsi" w:eastAsiaTheme="minorHAnsi" w:hAnsiTheme="minorHAnsi" w:cstheme="minorHAnsi"/>
              </w:rPr>
              <w:t>Mezanino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F963F1"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57099627"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19D476C1" w14:textId="77777777" w:rsidR="00335430" w:rsidRPr="00335430" w:rsidRDefault="00335430" w:rsidP="00335430">
            <w:pPr>
              <w:spacing w:before="0" w:after="0" w:line="240" w:lineRule="auto"/>
              <w:ind w:left="907" w:firstLine="461"/>
              <w:jc w:val="left"/>
              <w:rPr>
                <w:rFonts w:asciiTheme="minorHAnsi" w:eastAsiaTheme="minorHAnsi" w:hAnsiTheme="minorHAnsi" w:cstheme="minorHAnsi"/>
              </w:rPr>
            </w:pPr>
            <w:r w:rsidRPr="00335430">
              <w:rPr>
                <w:rFonts w:asciiTheme="minorHAnsi" w:eastAsiaTheme="minorHAnsi" w:hAnsiTheme="minorHAnsi" w:cstheme="minorHAnsi"/>
              </w:rPr>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06DC933F"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2D1B99E"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25D22DD6" w14:textId="77777777" w:rsidR="00335430" w:rsidRPr="00335430" w:rsidRDefault="00335430" w:rsidP="00335430">
            <w:pPr>
              <w:spacing w:before="0" w:after="0" w:line="240" w:lineRule="auto"/>
              <w:ind w:left="907" w:firstLine="886"/>
              <w:jc w:val="left"/>
              <w:rPr>
                <w:rFonts w:asciiTheme="minorHAnsi" w:eastAsiaTheme="minorHAnsi" w:hAnsiTheme="minorHAnsi" w:cstheme="minorHAnsi"/>
              </w:rPr>
            </w:pPr>
            <w:r w:rsidRPr="00335430">
              <w:rPr>
                <w:rFonts w:asciiTheme="minorHAnsi" w:eastAsiaTheme="minorHAnsi" w:hAnsiTheme="minorHAnsi" w:cstheme="minorHAnsi"/>
              </w:rPr>
              <w:t>Valor Total dos Resgates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0B353227"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BFA4A92"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12CAA5C3" w14:textId="77777777" w:rsidR="00335430" w:rsidRPr="00335430" w:rsidRDefault="00335430" w:rsidP="00335430">
            <w:pPr>
              <w:spacing w:before="0" w:after="0" w:line="240" w:lineRule="auto"/>
              <w:ind w:left="907" w:firstLine="886"/>
              <w:jc w:val="left"/>
              <w:rPr>
                <w:rFonts w:asciiTheme="minorHAnsi" w:eastAsiaTheme="minorHAnsi" w:hAnsiTheme="minorHAnsi" w:cstheme="minorHAnsi"/>
              </w:rPr>
            </w:pPr>
            <w:r w:rsidRPr="00335430">
              <w:rPr>
                <w:rFonts w:asciiTheme="minorHAnsi" w:eastAsiaTheme="minorHAnsi" w:hAnsiTheme="minorHAnsi" w:cstheme="minorHAnsi"/>
              </w:rPr>
              <w:t>Quantidade de Cotas Resgatadas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0345E8A2"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3F5B15D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3C0B93F7" w14:textId="77777777" w:rsidR="00335430" w:rsidRPr="00335430" w:rsidRDefault="00335430" w:rsidP="00335430">
            <w:pPr>
              <w:spacing w:before="0" w:after="0" w:line="240" w:lineRule="auto"/>
              <w:ind w:firstLine="1368"/>
              <w:jc w:val="left"/>
              <w:rPr>
                <w:rFonts w:asciiTheme="minorHAnsi" w:eastAsiaTheme="minorHAnsi" w:hAnsiTheme="minorHAnsi" w:cstheme="minorHAnsi"/>
              </w:rPr>
            </w:pPr>
            <w:r w:rsidRPr="00335430">
              <w:rPr>
                <w:rFonts w:asciiTheme="minorHAnsi" w:eastAsiaTheme="minorHAnsi" w:hAnsiTheme="minorHAnsi" w:cstheme="minorHAnsi"/>
              </w:rPr>
              <w:t>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23383BCE"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089899B9"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2461C84D" w14:textId="77777777" w:rsidR="00335430" w:rsidRPr="00335430" w:rsidRDefault="00335430" w:rsidP="00335430">
            <w:pPr>
              <w:spacing w:before="0" w:after="0" w:line="240" w:lineRule="auto"/>
              <w:ind w:left="1416" w:firstLine="519"/>
              <w:jc w:val="left"/>
              <w:rPr>
                <w:rFonts w:asciiTheme="minorHAnsi" w:eastAsiaTheme="minorHAnsi" w:hAnsiTheme="minorHAnsi" w:cstheme="minorHAnsi"/>
              </w:rPr>
            </w:pPr>
            <w:r w:rsidRPr="00335430">
              <w:rPr>
                <w:rFonts w:asciiTheme="minorHAnsi" w:eastAsiaTheme="minorHAnsi" w:hAnsiTheme="minorHAnsi" w:cstheme="minorHAnsi"/>
              </w:rPr>
              <w:t>Valor Total dos Resgates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564DFABA"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778CD360"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614E141D" w14:textId="77777777" w:rsidR="00335430" w:rsidRPr="00335430" w:rsidRDefault="00335430" w:rsidP="00335430">
            <w:pPr>
              <w:spacing w:before="0" w:after="0" w:line="240" w:lineRule="auto"/>
              <w:ind w:left="1416" w:firstLine="519"/>
              <w:jc w:val="left"/>
              <w:rPr>
                <w:rFonts w:asciiTheme="minorHAnsi" w:eastAsiaTheme="minorHAnsi" w:hAnsiTheme="minorHAnsi" w:cstheme="minorHAnsi"/>
              </w:rPr>
            </w:pPr>
            <w:r w:rsidRPr="00335430">
              <w:rPr>
                <w:rFonts w:asciiTheme="minorHAnsi" w:eastAsiaTheme="minorHAnsi" w:hAnsiTheme="minorHAnsi" w:cstheme="minorHAnsi"/>
              </w:rPr>
              <w:t>Quantidade de Cotas Resgatadas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0B66886F"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620C12D1"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70960DE5" w14:textId="77777777" w:rsidR="00335430" w:rsidRPr="00335430" w:rsidRDefault="00335430" w:rsidP="00335430">
            <w:pPr>
              <w:spacing w:before="0" w:after="0" w:line="240" w:lineRule="auto"/>
              <w:ind w:left="1758" w:hanging="390"/>
              <w:jc w:val="left"/>
              <w:rPr>
                <w:rFonts w:asciiTheme="minorHAnsi" w:eastAsiaTheme="minorHAnsi" w:hAnsiTheme="minorHAnsi" w:cstheme="minorHAnsi"/>
              </w:rPr>
            </w:pPr>
            <w:r w:rsidRPr="00335430">
              <w:rPr>
                <w:rFonts w:asciiTheme="minorHAnsi" w:eastAsiaTheme="minorHAnsi" w:hAnsiTheme="minorHAnsi" w:cstheme="minorHAnsi"/>
              </w:rPr>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47A00C7E"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322F4CB1"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043ABBFD" w14:textId="77777777" w:rsidR="00335430" w:rsidRPr="00335430" w:rsidRDefault="00335430" w:rsidP="00335430">
            <w:pPr>
              <w:spacing w:before="0" w:after="0" w:line="240" w:lineRule="auto"/>
              <w:ind w:left="1758" w:hanging="1099"/>
              <w:jc w:val="left"/>
              <w:rPr>
                <w:rFonts w:asciiTheme="minorHAnsi" w:eastAsiaTheme="minorHAnsi" w:hAnsiTheme="minorHAnsi" w:cstheme="minorHAnsi"/>
              </w:rPr>
            </w:pPr>
            <w:r w:rsidRPr="00335430">
              <w:rPr>
                <w:rFonts w:asciiTheme="minorHAnsi" w:eastAsiaTheme="minorHAnsi" w:hAnsiTheme="minorHAnsi" w:cstheme="minorHAnsi"/>
              </w:rPr>
              <w:t xml:space="preserve">4.2.3) Subclasse Subordinada </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5C4A8724"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D91DCB2"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9DE942" w14:textId="77777777" w:rsidR="00335430" w:rsidRPr="00335430" w:rsidRDefault="00335430" w:rsidP="00335430">
            <w:pPr>
              <w:spacing w:before="0" w:after="0" w:line="240" w:lineRule="auto"/>
              <w:ind w:left="1758" w:hanging="390"/>
              <w:jc w:val="left"/>
              <w:rPr>
                <w:rFonts w:asciiTheme="minorHAnsi" w:eastAsiaTheme="minorHAnsi" w:hAnsiTheme="minorHAnsi" w:cstheme="minorHAnsi"/>
              </w:rPr>
            </w:pPr>
            <w:r w:rsidRPr="00335430">
              <w:rPr>
                <w:rFonts w:asciiTheme="minorHAnsi" w:eastAsiaTheme="minorHAnsi" w:hAnsiTheme="minorHAnsi" w:cstheme="minorHAnsi"/>
              </w:rPr>
              <w:t>Valor Total dos Resgates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0A6357"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7396F5E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CC5535" w14:textId="77777777" w:rsidR="00335430" w:rsidRPr="00335430" w:rsidRDefault="00335430" w:rsidP="00335430">
            <w:pPr>
              <w:spacing w:before="0" w:after="0" w:line="240" w:lineRule="auto"/>
              <w:ind w:left="1758" w:hanging="390"/>
              <w:jc w:val="left"/>
              <w:rPr>
                <w:rFonts w:asciiTheme="minorHAnsi" w:eastAsiaTheme="minorHAnsi" w:hAnsiTheme="minorHAnsi" w:cstheme="minorHAnsi"/>
              </w:rPr>
            </w:pPr>
            <w:r w:rsidRPr="00335430">
              <w:rPr>
                <w:rFonts w:asciiTheme="minorHAnsi" w:eastAsiaTheme="minorHAnsi" w:hAnsiTheme="minorHAnsi" w:cstheme="minorHAnsi"/>
              </w:rPr>
              <w:t>Quantidade de Cotas Resgatadas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EDA319"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3EC635AA"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64C0FE"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4.3) Resgates Solicitados e Ainda Não Pagos (FIDC aberto - quantidade de cotas a serem resgatadas e valor a ser pago, em 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4C7F8E"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0CD8EFF1"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05A03F"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4.3.1) Subclasse Sênior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E17F2E"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0312F25D"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799710" w14:textId="77777777" w:rsidR="00335430" w:rsidRPr="00335430" w:rsidRDefault="00335430" w:rsidP="00335430">
            <w:pPr>
              <w:spacing w:before="0" w:after="0" w:line="240" w:lineRule="auto"/>
              <w:ind w:left="708" w:firstLine="518"/>
              <w:jc w:val="left"/>
              <w:rPr>
                <w:rFonts w:asciiTheme="minorHAnsi" w:eastAsiaTheme="minorHAnsi" w:hAnsiTheme="minorHAnsi" w:cstheme="minorHAnsi"/>
              </w:rPr>
            </w:pPr>
            <w:r w:rsidRPr="00335430">
              <w:rPr>
                <w:rFonts w:asciiTheme="minorHAnsi" w:eastAsiaTheme="minorHAnsi" w:hAnsiTheme="minorHAnsi" w:cstheme="minorHAnsi"/>
              </w:rPr>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A52897"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016123DF"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E89488" w14:textId="77777777" w:rsidR="00335430" w:rsidRPr="00335430" w:rsidRDefault="00335430" w:rsidP="00335430">
            <w:pPr>
              <w:spacing w:before="0" w:after="0" w:line="240" w:lineRule="auto"/>
              <w:ind w:left="907" w:firstLine="518"/>
              <w:jc w:val="left"/>
              <w:rPr>
                <w:rFonts w:asciiTheme="minorHAnsi" w:eastAsiaTheme="minorHAnsi" w:hAnsiTheme="minorHAnsi" w:cstheme="minorHAnsi"/>
              </w:rPr>
            </w:pPr>
            <w:r w:rsidRPr="00335430">
              <w:rPr>
                <w:rFonts w:asciiTheme="minorHAnsi" w:eastAsiaTheme="minorHAnsi" w:hAnsiTheme="minorHAnsi" w:cstheme="minorHAnsi"/>
              </w:rPr>
              <w:t>Valor a ser Pago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96E878"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546D91F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A9D5DE" w14:textId="77777777" w:rsidR="00335430" w:rsidRPr="00335430" w:rsidRDefault="00335430" w:rsidP="00335430">
            <w:pPr>
              <w:spacing w:before="0" w:after="0" w:line="240" w:lineRule="auto"/>
              <w:ind w:left="907" w:firstLine="518"/>
              <w:jc w:val="left"/>
              <w:rPr>
                <w:rFonts w:asciiTheme="minorHAnsi" w:eastAsiaTheme="minorHAnsi" w:hAnsiTheme="minorHAnsi" w:cstheme="minorHAnsi"/>
              </w:rPr>
            </w:pPr>
            <w:r w:rsidRPr="00335430">
              <w:rPr>
                <w:rFonts w:asciiTheme="minorHAnsi" w:eastAsiaTheme="minorHAnsi" w:hAnsiTheme="minorHAnsi" w:cstheme="minorHAnsi"/>
              </w:rPr>
              <w:t>Quantidade de Cotas a serem Resgatadas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7E4D70"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77D70776"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85AE3D" w14:textId="77777777" w:rsidR="00335430" w:rsidRPr="00335430" w:rsidRDefault="00335430" w:rsidP="00335430">
            <w:pPr>
              <w:spacing w:before="0" w:after="0" w:line="240" w:lineRule="auto"/>
              <w:ind w:left="1247" w:hanging="21"/>
              <w:jc w:val="left"/>
              <w:rPr>
                <w:rFonts w:asciiTheme="minorHAnsi" w:eastAsiaTheme="minorHAnsi" w:hAnsiTheme="minorHAnsi" w:cstheme="minorHAnsi"/>
              </w:rPr>
            </w:pPr>
            <w:r w:rsidRPr="00335430">
              <w:rPr>
                <w:rFonts w:asciiTheme="minorHAnsi" w:eastAsiaTheme="minorHAnsi" w:hAnsiTheme="minorHAnsi" w:cstheme="minorHAnsi"/>
              </w:rPr>
              <w:t>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7A1727"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0C20DDA3"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4620F9" w14:textId="77777777" w:rsidR="00335430" w:rsidRPr="00335430" w:rsidRDefault="00335430" w:rsidP="00335430">
            <w:pPr>
              <w:spacing w:before="0" w:after="0" w:line="240" w:lineRule="auto"/>
              <w:ind w:left="1416" w:hanging="21"/>
              <w:jc w:val="left"/>
              <w:rPr>
                <w:rFonts w:asciiTheme="minorHAnsi" w:eastAsiaTheme="minorHAnsi" w:hAnsiTheme="minorHAnsi" w:cstheme="minorHAnsi"/>
              </w:rPr>
            </w:pPr>
            <w:r w:rsidRPr="00335430">
              <w:rPr>
                <w:rFonts w:asciiTheme="minorHAnsi" w:eastAsiaTheme="minorHAnsi" w:hAnsiTheme="minorHAnsi" w:cstheme="minorHAnsi"/>
              </w:rPr>
              <w:t>Valor a ser Pago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6BA18A"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606F6202"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E37A06" w14:textId="77777777" w:rsidR="00335430" w:rsidRPr="00335430" w:rsidRDefault="00335430" w:rsidP="00335430">
            <w:pPr>
              <w:spacing w:before="0" w:after="0" w:line="240" w:lineRule="auto"/>
              <w:ind w:left="1416" w:hanging="21"/>
              <w:jc w:val="left"/>
              <w:rPr>
                <w:rFonts w:asciiTheme="minorHAnsi" w:eastAsiaTheme="minorHAnsi" w:hAnsiTheme="minorHAnsi" w:cstheme="minorHAnsi"/>
              </w:rPr>
            </w:pPr>
            <w:r w:rsidRPr="00335430">
              <w:rPr>
                <w:rFonts w:asciiTheme="minorHAnsi" w:eastAsiaTheme="minorHAnsi" w:hAnsiTheme="minorHAnsi" w:cstheme="minorHAnsi"/>
              </w:rPr>
              <w:t>Quantidade de Cotas a serem Resgatadas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CD20C8"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46E5C379"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2C0FE043" w14:textId="77777777" w:rsidR="00335430" w:rsidRPr="00335430" w:rsidRDefault="00335430" w:rsidP="00335430">
            <w:pPr>
              <w:spacing w:before="0" w:after="0" w:line="240" w:lineRule="auto"/>
              <w:ind w:left="708" w:firstLine="376"/>
              <w:jc w:val="left"/>
              <w:rPr>
                <w:rFonts w:asciiTheme="minorHAnsi" w:eastAsiaTheme="minorHAnsi" w:hAnsiTheme="minorHAnsi" w:cstheme="minorHAnsi"/>
              </w:rPr>
            </w:pPr>
            <w:r w:rsidRPr="00335430">
              <w:rPr>
                <w:rFonts w:asciiTheme="minorHAnsi" w:eastAsiaTheme="minorHAnsi" w:hAnsiTheme="minorHAnsi" w:cstheme="minorHAnsi"/>
              </w:rPr>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781B35A4"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0DE244D2"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88CC33"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4.3.2) Subclasse Subordinada Mezanino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0EB929"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37EE8C81"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76E77C" w14:textId="77777777" w:rsidR="00335430" w:rsidRPr="00335430" w:rsidRDefault="00335430" w:rsidP="00335430">
            <w:pPr>
              <w:spacing w:before="0" w:after="0" w:line="240" w:lineRule="auto"/>
              <w:ind w:left="708" w:firstLine="660"/>
              <w:jc w:val="left"/>
              <w:rPr>
                <w:rFonts w:asciiTheme="minorHAnsi" w:eastAsiaTheme="minorHAnsi" w:hAnsiTheme="minorHAnsi" w:cstheme="minorHAnsi"/>
              </w:rPr>
            </w:pPr>
            <w:r w:rsidRPr="00335430">
              <w:rPr>
                <w:rFonts w:asciiTheme="minorHAnsi" w:eastAsiaTheme="minorHAnsi" w:hAnsiTheme="minorHAnsi" w:cstheme="minorHAnsi"/>
              </w:rPr>
              <w:t>Mezanino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9B468E"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019F8D3"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5590FF50" w14:textId="77777777" w:rsidR="00335430" w:rsidRPr="00335430" w:rsidRDefault="00335430" w:rsidP="00335430">
            <w:pPr>
              <w:spacing w:before="0" w:after="0" w:line="240" w:lineRule="auto"/>
              <w:ind w:left="907" w:firstLine="461"/>
              <w:jc w:val="left"/>
              <w:rPr>
                <w:rFonts w:asciiTheme="minorHAnsi" w:eastAsiaTheme="minorHAnsi" w:hAnsiTheme="minorHAnsi" w:cstheme="minorHAnsi"/>
              </w:rPr>
            </w:pPr>
            <w:r w:rsidRPr="00335430">
              <w:rPr>
                <w:rFonts w:asciiTheme="minorHAnsi" w:eastAsiaTheme="minorHAnsi" w:hAnsiTheme="minorHAnsi" w:cstheme="minorHAnsi"/>
              </w:rPr>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369F80B9"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61F53DF"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6B724C" w14:textId="77777777" w:rsidR="00335430" w:rsidRPr="00335430" w:rsidRDefault="00335430" w:rsidP="00335430">
            <w:pPr>
              <w:spacing w:before="0" w:after="0" w:line="240" w:lineRule="auto"/>
              <w:ind w:left="907" w:firstLine="744"/>
              <w:jc w:val="left"/>
              <w:rPr>
                <w:rFonts w:asciiTheme="minorHAnsi" w:eastAsiaTheme="minorHAnsi" w:hAnsiTheme="minorHAnsi" w:cstheme="minorHAnsi"/>
              </w:rPr>
            </w:pPr>
            <w:r w:rsidRPr="00335430">
              <w:rPr>
                <w:rFonts w:asciiTheme="minorHAnsi" w:eastAsiaTheme="minorHAnsi" w:hAnsiTheme="minorHAnsi" w:cstheme="minorHAnsi"/>
              </w:rPr>
              <w:t>Valor a ser Pago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0C978F"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0942C224"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E13C7F" w14:textId="77777777" w:rsidR="00335430" w:rsidRPr="00335430" w:rsidRDefault="00335430" w:rsidP="00335430">
            <w:pPr>
              <w:spacing w:before="0" w:after="0" w:line="240" w:lineRule="auto"/>
              <w:ind w:left="907" w:firstLine="744"/>
              <w:jc w:val="left"/>
              <w:rPr>
                <w:rFonts w:asciiTheme="minorHAnsi" w:eastAsiaTheme="minorHAnsi" w:hAnsiTheme="minorHAnsi" w:cstheme="minorHAnsi"/>
              </w:rPr>
            </w:pPr>
            <w:r w:rsidRPr="00335430">
              <w:rPr>
                <w:rFonts w:asciiTheme="minorHAnsi" w:eastAsiaTheme="minorHAnsi" w:hAnsiTheme="minorHAnsi" w:cstheme="minorHAnsi"/>
              </w:rPr>
              <w:t>Quantidade de Cotas a serem Resgatadas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DAAD9A"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6F7B8F5"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1EA6B5" w14:textId="77777777" w:rsidR="00335430" w:rsidRPr="00335430" w:rsidRDefault="00335430" w:rsidP="00335430">
            <w:pPr>
              <w:spacing w:before="0" w:after="0" w:line="240" w:lineRule="auto"/>
              <w:ind w:left="1247" w:firstLine="121"/>
              <w:jc w:val="left"/>
              <w:rPr>
                <w:rFonts w:asciiTheme="minorHAnsi" w:eastAsiaTheme="minorHAnsi" w:hAnsiTheme="minorHAnsi" w:cstheme="minorHAnsi"/>
              </w:rPr>
            </w:pPr>
            <w:r w:rsidRPr="00335430">
              <w:rPr>
                <w:rFonts w:asciiTheme="minorHAnsi" w:eastAsiaTheme="minorHAnsi" w:hAnsiTheme="minorHAnsi" w:cstheme="minorHAnsi"/>
              </w:rPr>
              <w:t>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EE6077"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54CF0C14"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7F4F12" w14:textId="77777777" w:rsidR="00335430" w:rsidRPr="00335430" w:rsidRDefault="00335430" w:rsidP="00335430">
            <w:pPr>
              <w:spacing w:before="0" w:after="0" w:line="240" w:lineRule="auto"/>
              <w:ind w:left="1416" w:firstLine="235"/>
              <w:jc w:val="left"/>
              <w:rPr>
                <w:rFonts w:asciiTheme="minorHAnsi" w:eastAsiaTheme="minorHAnsi" w:hAnsiTheme="minorHAnsi" w:cstheme="minorHAnsi"/>
              </w:rPr>
            </w:pPr>
            <w:r w:rsidRPr="00335430">
              <w:rPr>
                <w:rFonts w:asciiTheme="minorHAnsi" w:eastAsiaTheme="minorHAnsi" w:hAnsiTheme="minorHAnsi" w:cstheme="minorHAnsi"/>
              </w:rPr>
              <w:lastRenderedPageBreak/>
              <w:t>Valor a ser Pago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0924A2"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DB4BD29"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0F4212" w14:textId="77777777" w:rsidR="00335430" w:rsidRPr="00335430" w:rsidRDefault="00335430" w:rsidP="00335430">
            <w:pPr>
              <w:spacing w:before="0" w:after="0" w:line="240" w:lineRule="auto"/>
              <w:ind w:left="1416" w:firstLine="235"/>
              <w:jc w:val="left"/>
              <w:rPr>
                <w:rFonts w:asciiTheme="minorHAnsi" w:eastAsiaTheme="minorHAnsi" w:hAnsiTheme="minorHAnsi" w:cstheme="minorHAnsi"/>
              </w:rPr>
            </w:pPr>
            <w:r w:rsidRPr="00335430">
              <w:rPr>
                <w:rFonts w:asciiTheme="minorHAnsi" w:eastAsiaTheme="minorHAnsi" w:hAnsiTheme="minorHAnsi" w:cstheme="minorHAnsi"/>
              </w:rPr>
              <w:t>Quantidade de Cotas a serem Resgatadas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66681C"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4E529D1"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39C99035" w14:textId="77777777" w:rsidR="00335430" w:rsidRPr="00335430" w:rsidRDefault="00335430" w:rsidP="00335430">
            <w:pPr>
              <w:spacing w:before="0" w:after="0" w:line="240" w:lineRule="auto"/>
              <w:ind w:left="1588" w:hanging="220"/>
              <w:jc w:val="left"/>
              <w:rPr>
                <w:rFonts w:asciiTheme="minorHAnsi" w:eastAsiaTheme="minorHAnsi" w:hAnsiTheme="minorHAnsi" w:cstheme="minorHAnsi"/>
              </w:rPr>
            </w:pPr>
            <w:r w:rsidRPr="00335430">
              <w:rPr>
                <w:rFonts w:asciiTheme="minorHAnsi" w:eastAsiaTheme="minorHAnsi" w:hAnsiTheme="minorHAnsi" w:cstheme="minorHAnsi"/>
              </w:rPr>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04AE1195"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64943D6D"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82029B" w14:textId="77777777" w:rsidR="00335430" w:rsidRPr="00335430" w:rsidRDefault="00335430" w:rsidP="00335430">
            <w:pPr>
              <w:spacing w:before="0" w:after="0" w:line="240" w:lineRule="auto"/>
              <w:ind w:left="1588" w:hanging="220"/>
              <w:jc w:val="left"/>
              <w:rPr>
                <w:rFonts w:asciiTheme="minorHAnsi" w:eastAsiaTheme="minorHAnsi" w:hAnsiTheme="minorHAnsi" w:cstheme="minorHAnsi"/>
              </w:rPr>
            </w:pPr>
            <w:r w:rsidRPr="00335430">
              <w:rPr>
                <w:rFonts w:asciiTheme="minorHAnsi" w:eastAsiaTheme="minorHAnsi" w:hAnsiTheme="minorHAnsi" w:cstheme="minorHAnsi"/>
              </w:rPr>
              <w:t>Mezanino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AAB951"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DCE0525"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2605791B" w14:textId="77777777" w:rsidR="00335430" w:rsidRPr="00335430" w:rsidRDefault="00335430" w:rsidP="00335430">
            <w:pPr>
              <w:spacing w:before="0" w:after="0" w:line="240" w:lineRule="auto"/>
              <w:ind w:left="1758" w:hanging="390"/>
              <w:jc w:val="left"/>
              <w:rPr>
                <w:rFonts w:asciiTheme="minorHAnsi" w:eastAsiaTheme="minorHAnsi" w:hAnsiTheme="minorHAnsi" w:cstheme="minorHAnsi"/>
              </w:rPr>
            </w:pPr>
            <w:r w:rsidRPr="00335430">
              <w:rPr>
                <w:rFonts w:asciiTheme="minorHAnsi" w:eastAsiaTheme="minorHAnsi" w:hAnsiTheme="minorHAnsi" w:cstheme="minorHAnsi"/>
              </w:rPr>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3B03D9F9"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578B07E6"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A80E33" w14:textId="77777777" w:rsidR="00335430" w:rsidRPr="00335430" w:rsidRDefault="00335430" w:rsidP="00335430">
            <w:pPr>
              <w:spacing w:before="0" w:after="0" w:line="240" w:lineRule="auto"/>
              <w:ind w:left="1758" w:firstLine="0"/>
              <w:jc w:val="left"/>
              <w:rPr>
                <w:rFonts w:asciiTheme="minorHAnsi" w:eastAsiaTheme="minorHAnsi" w:hAnsiTheme="minorHAnsi" w:cstheme="minorHAnsi"/>
              </w:rPr>
            </w:pPr>
            <w:r w:rsidRPr="00335430">
              <w:rPr>
                <w:rFonts w:asciiTheme="minorHAnsi" w:eastAsiaTheme="minorHAnsi" w:hAnsiTheme="minorHAnsi" w:cstheme="minorHAnsi"/>
              </w:rPr>
              <w:t>Valor a ser Pago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355F04"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72D42B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BAEE88" w14:textId="77777777" w:rsidR="00335430" w:rsidRPr="00335430" w:rsidRDefault="00335430" w:rsidP="00335430">
            <w:pPr>
              <w:spacing w:before="0" w:after="0" w:line="240" w:lineRule="auto"/>
              <w:ind w:left="1758" w:firstLine="0"/>
              <w:jc w:val="left"/>
              <w:rPr>
                <w:rFonts w:asciiTheme="minorHAnsi" w:eastAsiaTheme="minorHAnsi" w:hAnsiTheme="minorHAnsi" w:cstheme="minorHAnsi"/>
              </w:rPr>
            </w:pPr>
            <w:r w:rsidRPr="00335430">
              <w:rPr>
                <w:rFonts w:asciiTheme="minorHAnsi" w:eastAsiaTheme="minorHAnsi" w:hAnsiTheme="minorHAnsi" w:cstheme="minorHAnsi"/>
              </w:rPr>
              <w:t>Quantidade de Cotas a serem Resgatadas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5D8112"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558569DE"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0E6542A5" w14:textId="77777777" w:rsidR="00335430" w:rsidRPr="00335430" w:rsidRDefault="00335430" w:rsidP="00335430">
            <w:pPr>
              <w:spacing w:before="0" w:after="0" w:line="240" w:lineRule="auto"/>
              <w:ind w:left="1247" w:firstLine="121"/>
              <w:jc w:val="left"/>
              <w:rPr>
                <w:rFonts w:asciiTheme="minorHAnsi" w:eastAsiaTheme="minorHAnsi" w:hAnsiTheme="minorHAnsi" w:cstheme="minorHAnsi"/>
              </w:rPr>
            </w:pPr>
            <w:r w:rsidRPr="00335430">
              <w:rPr>
                <w:rFonts w:asciiTheme="minorHAnsi" w:eastAsiaTheme="minorHAnsi" w:hAnsiTheme="minorHAnsi" w:cstheme="minorHAnsi"/>
              </w:rPr>
              <w:t>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5DBA7773"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5A72D32B"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7A3B437C" w14:textId="77777777" w:rsidR="00335430" w:rsidRPr="00335430" w:rsidRDefault="00335430" w:rsidP="00335430">
            <w:pPr>
              <w:spacing w:before="0" w:after="0" w:line="240" w:lineRule="auto"/>
              <w:ind w:left="1416" w:firstLine="377"/>
              <w:jc w:val="left"/>
              <w:rPr>
                <w:rFonts w:asciiTheme="minorHAnsi" w:eastAsiaTheme="minorHAnsi" w:hAnsiTheme="minorHAnsi" w:cstheme="minorHAnsi"/>
              </w:rPr>
            </w:pPr>
            <w:r w:rsidRPr="00335430">
              <w:rPr>
                <w:rFonts w:asciiTheme="minorHAnsi" w:eastAsiaTheme="minorHAnsi" w:hAnsiTheme="minorHAnsi" w:cstheme="minorHAnsi"/>
              </w:rPr>
              <w:t>Valor a ser Pago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4E98E415"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E57DC23"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021BF4C9" w14:textId="77777777" w:rsidR="00335430" w:rsidRPr="00335430" w:rsidRDefault="00335430" w:rsidP="00335430">
            <w:pPr>
              <w:spacing w:before="0" w:after="0" w:line="240" w:lineRule="auto"/>
              <w:ind w:left="1416" w:firstLine="377"/>
              <w:jc w:val="left"/>
              <w:rPr>
                <w:rFonts w:asciiTheme="minorHAnsi" w:eastAsiaTheme="minorHAnsi" w:hAnsiTheme="minorHAnsi" w:cstheme="minorHAnsi"/>
              </w:rPr>
            </w:pPr>
            <w:r w:rsidRPr="00335430">
              <w:rPr>
                <w:rFonts w:asciiTheme="minorHAnsi" w:eastAsiaTheme="minorHAnsi" w:hAnsiTheme="minorHAnsi" w:cstheme="minorHAnsi"/>
              </w:rPr>
              <w:t>Quantidade de Cotas a serem Resgatadas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058A8689"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0E88B992"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7BA4F52E" w14:textId="77777777" w:rsidR="00335430" w:rsidRPr="00335430" w:rsidRDefault="00335430" w:rsidP="00335430">
            <w:pPr>
              <w:spacing w:before="0" w:after="0" w:line="240" w:lineRule="auto"/>
              <w:ind w:firstLine="1368"/>
              <w:jc w:val="left"/>
              <w:rPr>
                <w:rFonts w:asciiTheme="minorHAnsi" w:eastAsiaTheme="minorHAnsi" w:hAnsiTheme="minorHAnsi" w:cstheme="minorHAnsi"/>
              </w:rPr>
            </w:pPr>
            <w:r w:rsidRPr="00335430">
              <w:rPr>
                <w:rFonts w:asciiTheme="minorHAnsi" w:eastAsiaTheme="minorHAnsi" w:hAnsiTheme="minorHAnsi" w:cstheme="minorHAnsi"/>
              </w:rPr>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025EEBCD"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DF9D39A"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2E43BBF5"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 xml:space="preserve">4.3.3) Subclasse Subordinada </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778E6D08"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6ADD651"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3792FC"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4.4) Amortizações (Informar valor amortizado por cota e valor da amortização total, em 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0EB7CC"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561C096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03A6A8"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4.4.1) Subclasse Sênior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1D74F2"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600B3E4"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A1BC0B"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B79CA2"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7252CFF0"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01FEC9" w14:textId="77777777" w:rsidR="00335430" w:rsidRPr="00335430" w:rsidRDefault="00335430" w:rsidP="00335430">
            <w:pPr>
              <w:spacing w:before="0" w:after="0" w:line="240" w:lineRule="auto"/>
              <w:ind w:left="907" w:firstLine="0"/>
              <w:jc w:val="left"/>
              <w:rPr>
                <w:rFonts w:asciiTheme="minorHAnsi" w:eastAsiaTheme="minorHAnsi" w:hAnsiTheme="minorHAnsi" w:cstheme="minorHAnsi"/>
              </w:rPr>
            </w:pPr>
            <w:r w:rsidRPr="00335430">
              <w:rPr>
                <w:rFonts w:asciiTheme="minorHAnsi" w:eastAsiaTheme="minorHAnsi" w:hAnsiTheme="minorHAnsi" w:cstheme="minorHAnsi"/>
              </w:rPr>
              <w:t>Valor Amortizado por Cota</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980709"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4857627B"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002B10" w14:textId="77777777" w:rsidR="00335430" w:rsidRPr="00335430" w:rsidRDefault="00335430" w:rsidP="00335430">
            <w:pPr>
              <w:spacing w:before="0" w:after="0" w:line="240" w:lineRule="auto"/>
              <w:ind w:left="907" w:firstLine="0"/>
              <w:jc w:val="left"/>
              <w:rPr>
                <w:rFonts w:asciiTheme="minorHAnsi" w:eastAsiaTheme="minorHAnsi" w:hAnsiTheme="minorHAnsi" w:cstheme="minorHAnsi"/>
              </w:rPr>
            </w:pPr>
            <w:r w:rsidRPr="00335430">
              <w:rPr>
                <w:rFonts w:asciiTheme="minorHAnsi" w:eastAsiaTheme="minorHAnsi" w:hAnsiTheme="minorHAnsi" w:cstheme="minorHAnsi"/>
              </w:rPr>
              <w:t>Valor Total das Amortizações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80EED7"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5814DF2"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69E13F" w14:textId="77777777" w:rsidR="00335430" w:rsidRPr="00335430" w:rsidRDefault="00335430" w:rsidP="00335430">
            <w:pPr>
              <w:spacing w:before="0" w:after="0" w:line="240" w:lineRule="auto"/>
              <w:ind w:left="1247" w:hanging="588"/>
              <w:jc w:val="left"/>
              <w:rPr>
                <w:rFonts w:asciiTheme="minorHAnsi" w:eastAsiaTheme="minorHAnsi" w:hAnsiTheme="minorHAnsi" w:cstheme="minorHAnsi"/>
              </w:rPr>
            </w:pPr>
            <w:r w:rsidRPr="00335430">
              <w:rPr>
                <w:rFonts w:asciiTheme="minorHAnsi" w:eastAsiaTheme="minorHAnsi" w:hAnsiTheme="minorHAnsi" w:cstheme="minorHAnsi"/>
              </w:rPr>
              <w:t>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F3228E"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6F06A1A6"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9804C6" w14:textId="77777777" w:rsidR="00335430" w:rsidRPr="00335430" w:rsidRDefault="00335430" w:rsidP="00335430">
            <w:pPr>
              <w:spacing w:before="0" w:after="0" w:line="240" w:lineRule="auto"/>
              <w:ind w:left="1416" w:hanging="588"/>
              <w:jc w:val="left"/>
              <w:rPr>
                <w:rFonts w:asciiTheme="minorHAnsi" w:eastAsiaTheme="minorHAnsi" w:hAnsiTheme="minorHAnsi" w:cstheme="minorHAnsi"/>
              </w:rPr>
            </w:pPr>
            <w:r w:rsidRPr="00335430">
              <w:rPr>
                <w:rFonts w:asciiTheme="minorHAnsi" w:eastAsiaTheme="minorHAnsi" w:hAnsiTheme="minorHAnsi" w:cstheme="minorHAnsi"/>
              </w:rPr>
              <w:t>Valor Amortizado por Cota</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FBDAD4"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F2E0836"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7444B4" w14:textId="77777777" w:rsidR="00335430" w:rsidRPr="00335430" w:rsidRDefault="00335430" w:rsidP="00335430">
            <w:pPr>
              <w:spacing w:before="0" w:after="0" w:line="240" w:lineRule="auto"/>
              <w:ind w:left="1416" w:hanging="588"/>
              <w:jc w:val="left"/>
              <w:rPr>
                <w:rFonts w:asciiTheme="minorHAnsi" w:eastAsiaTheme="minorHAnsi" w:hAnsiTheme="minorHAnsi" w:cstheme="minorHAnsi"/>
              </w:rPr>
            </w:pPr>
            <w:r w:rsidRPr="00335430">
              <w:rPr>
                <w:rFonts w:asciiTheme="minorHAnsi" w:eastAsiaTheme="minorHAnsi" w:hAnsiTheme="minorHAnsi" w:cstheme="minorHAnsi"/>
              </w:rPr>
              <w:t>Valor Total das Amortizações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7CA0B5"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3131CC87"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43FDCBE5"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7A83E695"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0D48E442"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802E2F"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4.4.2) Subclasse Subordinada Mezanino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78A46D"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59702F7D"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6978CA"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Mezanino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4BBBCB"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3DD024BE"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3FDAB8F5" w14:textId="77777777" w:rsidR="00335430" w:rsidRPr="00335430" w:rsidRDefault="00335430" w:rsidP="00335430">
            <w:pPr>
              <w:spacing w:before="0" w:after="0" w:line="240" w:lineRule="auto"/>
              <w:ind w:left="907" w:firstLine="0"/>
              <w:jc w:val="left"/>
              <w:rPr>
                <w:rFonts w:asciiTheme="minorHAnsi" w:eastAsiaTheme="minorHAnsi" w:hAnsiTheme="minorHAnsi" w:cstheme="minorHAnsi"/>
              </w:rPr>
            </w:pPr>
            <w:r w:rsidRPr="00335430">
              <w:rPr>
                <w:rFonts w:asciiTheme="minorHAnsi" w:eastAsiaTheme="minorHAnsi" w:hAnsiTheme="minorHAnsi" w:cstheme="minorHAnsi"/>
              </w:rPr>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44F67415"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3AED008B"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1E6210" w14:textId="77777777" w:rsidR="00335430" w:rsidRPr="00335430" w:rsidRDefault="00335430" w:rsidP="00335430">
            <w:pPr>
              <w:spacing w:before="0" w:after="0" w:line="240" w:lineRule="auto"/>
              <w:ind w:left="907" w:firstLine="319"/>
              <w:jc w:val="left"/>
              <w:rPr>
                <w:rFonts w:asciiTheme="minorHAnsi" w:eastAsiaTheme="minorHAnsi" w:hAnsiTheme="minorHAnsi" w:cstheme="minorHAnsi"/>
              </w:rPr>
            </w:pPr>
            <w:r w:rsidRPr="00335430">
              <w:rPr>
                <w:rFonts w:asciiTheme="minorHAnsi" w:eastAsiaTheme="minorHAnsi" w:hAnsiTheme="minorHAnsi" w:cstheme="minorHAnsi"/>
              </w:rPr>
              <w:t>Valor Amortizado por Cota</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A5063C"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2496200"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3A98AF" w14:textId="77777777" w:rsidR="00335430" w:rsidRPr="00335430" w:rsidRDefault="00335430" w:rsidP="00335430">
            <w:pPr>
              <w:spacing w:before="0" w:after="0" w:line="240" w:lineRule="auto"/>
              <w:ind w:left="907" w:firstLine="319"/>
              <w:jc w:val="left"/>
              <w:rPr>
                <w:rFonts w:asciiTheme="minorHAnsi" w:eastAsiaTheme="minorHAnsi" w:hAnsiTheme="minorHAnsi" w:cstheme="minorHAnsi"/>
              </w:rPr>
            </w:pPr>
            <w:r w:rsidRPr="00335430">
              <w:rPr>
                <w:rFonts w:asciiTheme="minorHAnsi" w:eastAsiaTheme="minorHAnsi" w:hAnsiTheme="minorHAnsi" w:cstheme="minorHAnsi"/>
              </w:rPr>
              <w:t>Valor Total das Amortizações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00304A"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1B8FAAA"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4148AF" w14:textId="77777777" w:rsidR="00335430" w:rsidRPr="00335430" w:rsidRDefault="00335430" w:rsidP="00335430">
            <w:pPr>
              <w:spacing w:before="0" w:after="0" w:line="240" w:lineRule="auto"/>
              <w:ind w:left="1247" w:hanging="304"/>
              <w:jc w:val="left"/>
              <w:rPr>
                <w:rFonts w:asciiTheme="minorHAnsi" w:eastAsiaTheme="minorHAnsi" w:hAnsiTheme="minorHAnsi" w:cstheme="minorHAnsi"/>
              </w:rPr>
            </w:pPr>
            <w:r w:rsidRPr="00335430">
              <w:rPr>
                <w:rFonts w:asciiTheme="minorHAnsi" w:eastAsiaTheme="minorHAnsi" w:hAnsiTheme="minorHAnsi" w:cstheme="minorHAnsi"/>
              </w:rPr>
              <w:t>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8E1B44"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5A57F6D4"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750215" w14:textId="77777777" w:rsidR="00335430" w:rsidRPr="00335430" w:rsidRDefault="00335430" w:rsidP="00335430">
            <w:pPr>
              <w:spacing w:before="0" w:after="0" w:line="240" w:lineRule="auto"/>
              <w:ind w:left="1416" w:hanging="304"/>
              <w:jc w:val="left"/>
              <w:rPr>
                <w:rFonts w:asciiTheme="minorHAnsi" w:eastAsiaTheme="minorHAnsi" w:hAnsiTheme="minorHAnsi" w:cstheme="minorHAnsi"/>
              </w:rPr>
            </w:pPr>
            <w:r w:rsidRPr="00335430">
              <w:rPr>
                <w:rFonts w:asciiTheme="minorHAnsi" w:eastAsiaTheme="minorHAnsi" w:hAnsiTheme="minorHAnsi" w:cstheme="minorHAnsi"/>
              </w:rPr>
              <w:t>Valor Amortizado por Cota</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DDAD8E"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3B123E12"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A4FF79" w14:textId="77777777" w:rsidR="00335430" w:rsidRPr="00335430" w:rsidRDefault="00335430" w:rsidP="00335430">
            <w:pPr>
              <w:spacing w:before="0" w:after="0" w:line="240" w:lineRule="auto"/>
              <w:ind w:left="1416" w:hanging="304"/>
              <w:jc w:val="left"/>
              <w:rPr>
                <w:rFonts w:asciiTheme="minorHAnsi" w:eastAsiaTheme="minorHAnsi" w:hAnsiTheme="minorHAnsi" w:cstheme="minorHAnsi"/>
              </w:rPr>
            </w:pPr>
            <w:r w:rsidRPr="00335430">
              <w:rPr>
                <w:rFonts w:asciiTheme="minorHAnsi" w:eastAsiaTheme="minorHAnsi" w:hAnsiTheme="minorHAnsi" w:cstheme="minorHAnsi"/>
              </w:rPr>
              <w:t>Valor Total das Amortizações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E9CAB5"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5FEC55AD"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45E41AD8"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lastRenderedPageBreak/>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5AE6B64C"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311BD3C"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089FC669"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Mezanino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8B6795"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3FD04A0"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7A95753E" w14:textId="77777777" w:rsidR="00335430" w:rsidRPr="00335430" w:rsidRDefault="00335430" w:rsidP="00335430">
            <w:pPr>
              <w:spacing w:before="0" w:after="0" w:line="240" w:lineRule="auto"/>
              <w:ind w:left="907" w:firstLine="0"/>
              <w:jc w:val="left"/>
              <w:rPr>
                <w:rFonts w:asciiTheme="minorHAnsi" w:eastAsiaTheme="minorHAnsi" w:hAnsiTheme="minorHAnsi" w:cstheme="minorHAnsi"/>
              </w:rPr>
            </w:pPr>
            <w:r w:rsidRPr="00335430">
              <w:rPr>
                <w:rFonts w:asciiTheme="minorHAnsi" w:eastAsiaTheme="minorHAnsi" w:hAnsiTheme="minorHAnsi" w:cstheme="minorHAnsi"/>
              </w:rPr>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52BFD28B"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7FE6A68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3CA737B5" w14:textId="77777777" w:rsidR="00335430" w:rsidRPr="00335430" w:rsidRDefault="00335430" w:rsidP="00335430">
            <w:pPr>
              <w:spacing w:before="0" w:after="0" w:line="240" w:lineRule="auto"/>
              <w:ind w:left="907" w:firstLine="319"/>
              <w:jc w:val="left"/>
              <w:rPr>
                <w:rFonts w:asciiTheme="minorHAnsi" w:eastAsiaTheme="minorHAnsi" w:hAnsiTheme="minorHAnsi" w:cstheme="minorHAnsi"/>
              </w:rPr>
            </w:pPr>
            <w:r w:rsidRPr="00335430">
              <w:rPr>
                <w:rFonts w:asciiTheme="minorHAnsi" w:eastAsiaTheme="minorHAnsi" w:hAnsiTheme="minorHAnsi" w:cstheme="minorHAnsi"/>
              </w:rPr>
              <w:t>Valor Amortizado por Cota</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10DC77"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1F4921D9"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4E8F9F6C" w14:textId="77777777" w:rsidR="00335430" w:rsidRPr="00335430" w:rsidRDefault="00335430" w:rsidP="00335430">
            <w:pPr>
              <w:spacing w:before="0" w:after="0" w:line="240" w:lineRule="auto"/>
              <w:ind w:left="907" w:firstLine="319"/>
              <w:jc w:val="left"/>
              <w:rPr>
                <w:rFonts w:asciiTheme="minorHAnsi" w:eastAsiaTheme="minorHAnsi" w:hAnsiTheme="minorHAnsi" w:cstheme="minorHAnsi"/>
              </w:rPr>
            </w:pPr>
            <w:r w:rsidRPr="00335430">
              <w:rPr>
                <w:rFonts w:asciiTheme="minorHAnsi" w:eastAsiaTheme="minorHAnsi" w:hAnsiTheme="minorHAnsi" w:cstheme="minorHAnsi"/>
              </w:rPr>
              <w:t>Valor Total das Amortizações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E3E15A"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62454FC9"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53A447E4" w14:textId="77777777" w:rsidR="00335430" w:rsidRPr="00335430" w:rsidRDefault="00335430" w:rsidP="00335430">
            <w:pPr>
              <w:spacing w:before="0" w:after="0" w:line="240" w:lineRule="auto"/>
              <w:ind w:left="1247" w:hanging="304"/>
              <w:jc w:val="left"/>
              <w:rPr>
                <w:rFonts w:asciiTheme="minorHAnsi" w:eastAsiaTheme="minorHAnsi" w:hAnsiTheme="minorHAnsi" w:cstheme="minorHAnsi"/>
              </w:rPr>
            </w:pPr>
            <w:r w:rsidRPr="00335430">
              <w:rPr>
                <w:rFonts w:asciiTheme="minorHAnsi" w:eastAsiaTheme="minorHAnsi" w:hAnsiTheme="minorHAnsi" w:cstheme="minorHAnsi"/>
              </w:rPr>
              <w:t>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6066C94C"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514A23F0"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1812B06F" w14:textId="77777777" w:rsidR="00335430" w:rsidRPr="00335430" w:rsidRDefault="00335430" w:rsidP="00335430">
            <w:pPr>
              <w:spacing w:before="0" w:after="0" w:line="240" w:lineRule="auto"/>
              <w:ind w:left="1416" w:hanging="304"/>
              <w:jc w:val="left"/>
              <w:rPr>
                <w:rFonts w:asciiTheme="minorHAnsi" w:eastAsiaTheme="minorHAnsi" w:hAnsiTheme="minorHAnsi" w:cstheme="minorHAnsi"/>
              </w:rPr>
            </w:pPr>
            <w:r w:rsidRPr="00335430">
              <w:rPr>
                <w:rFonts w:asciiTheme="minorHAnsi" w:eastAsiaTheme="minorHAnsi" w:hAnsiTheme="minorHAnsi" w:cstheme="minorHAnsi"/>
              </w:rPr>
              <w:t>Valor Amortizado por Cota</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200740B5"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48C090F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24519345" w14:textId="77777777" w:rsidR="00335430" w:rsidRPr="00335430" w:rsidRDefault="00335430" w:rsidP="00335430">
            <w:pPr>
              <w:spacing w:before="0" w:after="0" w:line="240" w:lineRule="auto"/>
              <w:ind w:left="1416" w:hanging="304"/>
              <w:jc w:val="left"/>
              <w:rPr>
                <w:rFonts w:asciiTheme="minorHAnsi" w:eastAsiaTheme="minorHAnsi" w:hAnsiTheme="minorHAnsi" w:cstheme="minorHAnsi"/>
              </w:rPr>
            </w:pPr>
            <w:r w:rsidRPr="00335430">
              <w:rPr>
                <w:rFonts w:asciiTheme="minorHAnsi" w:eastAsiaTheme="minorHAnsi" w:hAnsiTheme="minorHAnsi" w:cstheme="minorHAnsi"/>
              </w:rPr>
              <w:t>Valor Total das Amortizações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688B72D0"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04693B75"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1E865A27" w14:textId="77777777" w:rsidR="00335430" w:rsidRPr="00335430" w:rsidRDefault="00335430" w:rsidP="00335430">
            <w:pPr>
              <w:spacing w:before="0" w:after="0" w:line="240" w:lineRule="auto"/>
              <w:ind w:firstLine="801"/>
              <w:jc w:val="left"/>
              <w:rPr>
                <w:rFonts w:asciiTheme="minorHAnsi" w:eastAsiaTheme="minorHAnsi" w:hAnsiTheme="minorHAnsi" w:cstheme="minorHAnsi"/>
              </w:rPr>
            </w:pPr>
            <w:r w:rsidRPr="00335430">
              <w:rPr>
                <w:rFonts w:asciiTheme="minorHAnsi" w:eastAsiaTheme="minorHAnsi" w:hAnsiTheme="minorHAnsi" w:cstheme="minorHAnsi"/>
              </w:rPr>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233D5EC4"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79F4DE7F"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541A9819"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 xml:space="preserve">4.4.3) Subclasse Subordinada </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1B49D173"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7C8CB6F3"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08B768"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5) Liquidez (Preenchimento compulsório apenas para os fundos abertos) – 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6370E1A1"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p>
        </w:tc>
      </w:tr>
      <w:tr w:rsidR="00335430" w:rsidRPr="00335430" w14:paraId="2DE7BF19"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5383D6"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Ativos com liquidez imediata</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F57073"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7862460B"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9AFB53"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Ativos que podem ser liquidados em até 30 dias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A85F72"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370E6750"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260596"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Ativos que podem ser liquidados em até 60 dias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B1336A"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6B8375AA"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9E40EE"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Ativos que podem ser liquidados em até 90 dias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2DAE45"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531815F2"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D45EA7A"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Ativos que podem ser liquidados em até 180 dias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11D90"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5FF21E7B"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0ECFD6"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Ativos que podem ser liquidados em até 360 dias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48264C"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56A04A3D"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882BAC"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Ativos que podem ser liquidados em mais de 360 dias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006145"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317F809E"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4CEC83"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 xml:space="preserve">6) Desempenho Esperado (Benchmark) e o Realizado </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481A3C13"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19BCFA62"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5ED77"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6.1) Subclasse Sênior</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23AD52"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630A2F12" w14:textId="77777777" w:rsidTr="0026168E">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DE420B"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6.1.1) 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985B90"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c>
          <w:tcPr>
            <w:tcW w:w="55" w:type="pct"/>
            <w:gridSpan w:val="2"/>
            <w:tcBorders>
              <w:top w:val="nil"/>
              <w:left w:val="nil"/>
              <w:bottom w:val="nil"/>
              <w:right w:val="outset" w:sz="6" w:space="0" w:color="000000" w:themeColor="text1"/>
            </w:tcBorders>
            <w:shd w:val="clear" w:color="auto" w:fill="auto"/>
            <w:vAlign w:val="center"/>
          </w:tcPr>
          <w:p w14:paraId="5DFD8CAA" w14:textId="77777777" w:rsidR="00335430" w:rsidRPr="00335430" w:rsidRDefault="00335430" w:rsidP="00335430">
            <w:pPr>
              <w:spacing w:before="0" w:after="0" w:line="240" w:lineRule="auto"/>
              <w:ind w:firstLine="0"/>
              <w:jc w:val="left"/>
              <w:rPr>
                <w:rFonts w:asciiTheme="minorHAnsi" w:eastAsiaTheme="minorHAnsi" w:hAnsiTheme="minorHAnsi" w:cstheme="minorHAnsi"/>
                <w:vanish/>
                <w:color w:val="FF0000"/>
              </w:rPr>
            </w:pPr>
          </w:p>
        </w:tc>
      </w:tr>
      <w:tr w:rsidR="00335430" w:rsidRPr="00335430" w14:paraId="7E05D606" w14:textId="77777777" w:rsidTr="0026168E">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BCB329"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Desempenho Esperado (Benchmark)</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31FBC5"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c>
          <w:tcPr>
            <w:tcW w:w="55" w:type="pct"/>
            <w:gridSpan w:val="2"/>
            <w:tcBorders>
              <w:top w:val="nil"/>
              <w:left w:val="nil"/>
              <w:bottom w:val="nil"/>
              <w:right w:val="outset" w:sz="6" w:space="0" w:color="000000" w:themeColor="text1"/>
            </w:tcBorders>
            <w:shd w:val="clear" w:color="auto" w:fill="auto"/>
            <w:vAlign w:val="center"/>
          </w:tcPr>
          <w:p w14:paraId="0A94802C" w14:textId="77777777" w:rsidR="00335430" w:rsidRPr="00335430" w:rsidRDefault="00335430" w:rsidP="00335430">
            <w:pPr>
              <w:spacing w:before="0" w:after="0" w:line="240" w:lineRule="auto"/>
              <w:ind w:firstLine="0"/>
              <w:jc w:val="left"/>
              <w:rPr>
                <w:rFonts w:asciiTheme="minorHAnsi" w:eastAsiaTheme="minorHAnsi" w:hAnsiTheme="minorHAnsi" w:cstheme="minorHAnsi"/>
                <w:vanish/>
                <w:color w:val="FF0000"/>
              </w:rPr>
            </w:pPr>
          </w:p>
        </w:tc>
      </w:tr>
      <w:tr w:rsidR="00335430" w:rsidRPr="00335430" w14:paraId="5E8B715D"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F08D4E"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Desempenho Realizado (Rentabilidade no Mês)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69BD2E"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3D1073EB"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88ECF4" w14:textId="3BBCA930"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6.1.2) Série</w:t>
            </w:r>
            <w:r w:rsidR="00136E84">
              <w:rPr>
                <w:rFonts w:asciiTheme="minorHAnsi" w:eastAsiaTheme="minorHAnsi" w:hAnsiTheme="minorHAnsi" w:cstheme="minorHAnsi"/>
              </w:rPr>
              <w:t xml:space="preserv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F72341"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6825FC2D" w14:textId="77777777" w:rsidTr="0026168E">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B3BC93A"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Desempenho Esperado (Benchmark)</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A37B27"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c>
          <w:tcPr>
            <w:tcW w:w="55" w:type="pct"/>
            <w:gridSpan w:val="2"/>
            <w:tcBorders>
              <w:top w:val="nil"/>
              <w:left w:val="nil"/>
              <w:bottom w:val="nil"/>
              <w:right w:val="outset" w:sz="6" w:space="0" w:color="000000" w:themeColor="text1"/>
            </w:tcBorders>
            <w:shd w:val="clear" w:color="auto" w:fill="auto"/>
            <w:vAlign w:val="center"/>
          </w:tcPr>
          <w:p w14:paraId="3DB87324" w14:textId="77777777" w:rsidR="00335430" w:rsidRPr="00335430" w:rsidRDefault="00335430" w:rsidP="00335430">
            <w:pPr>
              <w:spacing w:before="0" w:after="0" w:line="240" w:lineRule="auto"/>
              <w:ind w:firstLine="0"/>
              <w:jc w:val="left"/>
              <w:rPr>
                <w:rFonts w:asciiTheme="minorHAnsi" w:eastAsiaTheme="minorHAnsi" w:hAnsiTheme="minorHAnsi" w:cstheme="minorHAnsi"/>
                <w:vanish/>
                <w:color w:val="FF0000"/>
                <w:highlight w:val="yellow"/>
              </w:rPr>
            </w:pPr>
          </w:p>
        </w:tc>
      </w:tr>
      <w:tr w:rsidR="00335430" w:rsidRPr="00335430" w14:paraId="4B7B36D4"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482ADC"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Desempenho Realizado (Rentabilidade no Mês)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A0EB9A"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12E5F81E"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50F35295" w14:textId="77777777" w:rsidR="00335430" w:rsidRPr="00335430" w:rsidRDefault="00335430" w:rsidP="00335430">
            <w:pPr>
              <w:spacing w:before="0" w:after="0" w:line="240" w:lineRule="auto"/>
              <w:ind w:firstLine="517"/>
              <w:jc w:val="left"/>
              <w:rPr>
                <w:rFonts w:asciiTheme="minorHAnsi" w:eastAsiaTheme="minorHAnsi" w:hAnsiTheme="minorHAnsi" w:cstheme="minorHAnsi"/>
              </w:rPr>
            </w:pPr>
            <w:r w:rsidRPr="00335430">
              <w:rPr>
                <w:rFonts w:asciiTheme="minorHAnsi" w:eastAsiaTheme="minorHAnsi" w:hAnsiTheme="minorHAnsi" w:cstheme="minorHAnsi"/>
              </w:rPr>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21B409BA"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6AEDEA9E"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6C5EAF"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6.2) Subclasse Subordinada Mezanino</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791380"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58BF0365"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444E966D"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6.2.1) Mezanino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15EDA426"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583EA561"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32F21F5F" w14:textId="77777777" w:rsidR="00335430" w:rsidRPr="00335430" w:rsidRDefault="00335430" w:rsidP="00335430">
            <w:pPr>
              <w:spacing w:before="0" w:after="0" w:line="240" w:lineRule="auto"/>
              <w:ind w:left="708" w:firstLine="660"/>
              <w:jc w:val="left"/>
              <w:rPr>
                <w:rFonts w:asciiTheme="minorHAnsi" w:eastAsiaTheme="minorHAnsi" w:hAnsiTheme="minorHAnsi" w:cstheme="minorHAnsi"/>
              </w:rPr>
            </w:pPr>
            <w:r w:rsidRPr="00335430">
              <w:rPr>
                <w:rFonts w:asciiTheme="minorHAnsi" w:eastAsiaTheme="minorHAnsi" w:hAnsiTheme="minorHAnsi" w:cstheme="minorHAnsi"/>
              </w:rPr>
              <w:lastRenderedPageBreak/>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0DAA45A6"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4B5D3534"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5B5D4A" w14:textId="77777777" w:rsidR="00335430" w:rsidRPr="00335430" w:rsidRDefault="00335430" w:rsidP="00335430">
            <w:pPr>
              <w:spacing w:before="0" w:after="0" w:line="240" w:lineRule="auto"/>
              <w:ind w:left="708" w:firstLine="660"/>
              <w:jc w:val="left"/>
              <w:rPr>
                <w:rFonts w:asciiTheme="minorHAnsi" w:eastAsiaTheme="minorHAnsi" w:hAnsiTheme="minorHAnsi" w:cstheme="minorHAnsi"/>
              </w:rPr>
            </w:pPr>
            <w:r w:rsidRPr="00335430">
              <w:rPr>
                <w:rFonts w:asciiTheme="minorHAnsi" w:eastAsiaTheme="minorHAnsi" w:hAnsiTheme="minorHAnsi" w:cstheme="minorHAnsi"/>
              </w:rPr>
              <w:t>Desempenho Esperado (Benchmark)</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16E508"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07ADF13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CEE8CD" w14:textId="77777777" w:rsidR="00335430" w:rsidRPr="00335430" w:rsidRDefault="00335430" w:rsidP="00335430">
            <w:pPr>
              <w:spacing w:before="0" w:after="0" w:line="240" w:lineRule="auto"/>
              <w:ind w:left="708" w:firstLine="660"/>
              <w:jc w:val="left"/>
              <w:rPr>
                <w:rFonts w:asciiTheme="minorHAnsi" w:eastAsiaTheme="minorHAnsi" w:hAnsiTheme="minorHAnsi" w:cstheme="minorHAnsi"/>
              </w:rPr>
            </w:pPr>
            <w:r w:rsidRPr="00335430">
              <w:rPr>
                <w:rFonts w:asciiTheme="minorHAnsi" w:eastAsiaTheme="minorHAnsi" w:hAnsiTheme="minorHAnsi" w:cstheme="minorHAnsi"/>
              </w:rPr>
              <w:t>Desempenho Realizado (Rentabilidade no Mês)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C5E34F"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4316AE4A"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0BA891" w14:textId="77777777" w:rsidR="00335430" w:rsidRPr="00335430" w:rsidRDefault="00335430" w:rsidP="00335430">
            <w:pPr>
              <w:spacing w:before="0" w:after="0" w:line="240" w:lineRule="auto"/>
              <w:ind w:firstLine="1226"/>
              <w:jc w:val="left"/>
              <w:rPr>
                <w:rFonts w:asciiTheme="minorHAnsi" w:eastAsiaTheme="minorHAnsi" w:hAnsiTheme="minorHAnsi" w:cstheme="minorHAnsi"/>
              </w:rPr>
            </w:pPr>
            <w:r w:rsidRPr="00335430">
              <w:rPr>
                <w:rFonts w:asciiTheme="minorHAnsi" w:eastAsiaTheme="minorHAnsi" w:hAnsiTheme="minorHAnsi" w:cstheme="minorHAnsi"/>
              </w:rPr>
              <w:t xml:space="preserve">  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4E977E"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5CE2D4BD"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292DD7" w14:textId="77777777" w:rsidR="00335430" w:rsidRPr="00335430" w:rsidRDefault="00335430" w:rsidP="00335430">
            <w:pPr>
              <w:spacing w:before="0" w:after="0" w:line="240" w:lineRule="auto"/>
              <w:ind w:left="1247" w:firstLine="121"/>
              <w:jc w:val="left"/>
              <w:rPr>
                <w:rFonts w:asciiTheme="minorHAnsi" w:eastAsiaTheme="minorHAnsi" w:hAnsiTheme="minorHAnsi" w:cstheme="minorHAnsi"/>
              </w:rPr>
            </w:pPr>
            <w:r w:rsidRPr="00335430">
              <w:rPr>
                <w:rFonts w:asciiTheme="minorHAnsi" w:eastAsiaTheme="minorHAnsi" w:hAnsiTheme="minorHAnsi" w:cstheme="minorHAnsi"/>
              </w:rPr>
              <w:t>Desempenho Esperado (Benchmark)</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D06C98"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5C957E62"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08487B" w14:textId="77777777" w:rsidR="00335430" w:rsidRPr="00335430" w:rsidRDefault="00335430" w:rsidP="00335430">
            <w:pPr>
              <w:spacing w:before="0" w:after="0" w:line="240" w:lineRule="auto"/>
              <w:ind w:left="1247" w:firstLine="121"/>
              <w:jc w:val="left"/>
              <w:rPr>
                <w:rFonts w:asciiTheme="minorHAnsi" w:eastAsiaTheme="minorHAnsi" w:hAnsiTheme="minorHAnsi" w:cstheme="minorHAnsi"/>
              </w:rPr>
            </w:pPr>
            <w:r w:rsidRPr="00335430">
              <w:rPr>
                <w:rFonts w:asciiTheme="minorHAnsi" w:eastAsiaTheme="minorHAnsi" w:hAnsiTheme="minorHAnsi" w:cstheme="minorHAnsi"/>
              </w:rPr>
              <w:t>Desempenho Realizado (Rentabilidade no Mês)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D146CA"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00627DA5"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6E1E6EFC"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20949D47"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5508E2D1"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5D7AD60B" w14:textId="77777777" w:rsidR="00335430" w:rsidRPr="00335430" w:rsidRDefault="00335430" w:rsidP="00335430">
            <w:pPr>
              <w:spacing w:before="0" w:after="0" w:line="240" w:lineRule="auto"/>
              <w:ind w:left="708" w:firstLine="0"/>
              <w:jc w:val="left"/>
              <w:rPr>
                <w:rFonts w:asciiTheme="minorHAnsi" w:eastAsiaTheme="minorHAnsi" w:hAnsiTheme="minorHAnsi" w:cstheme="minorHAnsi"/>
              </w:rPr>
            </w:pPr>
            <w:r w:rsidRPr="00335430">
              <w:rPr>
                <w:rFonts w:asciiTheme="minorHAnsi" w:eastAsiaTheme="minorHAnsi" w:hAnsiTheme="minorHAnsi" w:cstheme="minorHAnsi"/>
              </w:rPr>
              <w:t>6.2.2) Mezanino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4C723931"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1481E277"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50F259D8" w14:textId="77777777" w:rsidR="00335430" w:rsidRPr="00335430" w:rsidRDefault="00335430" w:rsidP="00335430">
            <w:pPr>
              <w:spacing w:before="0" w:after="0" w:line="240" w:lineRule="auto"/>
              <w:ind w:left="708" w:firstLine="660"/>
              <w:jc w:val="left"/>
              <w:rPr>
                <w:rFonts w:asciiTheme="minorHAnsi" w:eastAsiaTheme="minorHAnsi" w:hAnsiTheme="minorHAnsi" w:cstheme="minorHAnsi"/>
              </w:rPr>
            </w:pPr>
            <w:r w:rsidRPr="00335430">
              <w:rPr>
                <w:rFonts w:asciiTheme="minorHAnsi" w:eastAsiaTheme="minorHAnsi" w:hAnsiTheme="minorHAnsi" w:cstheme="minorHAnsi"/>
              </w:rPr>
              <w:t>Série 1</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7C6D9F36"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216EF047"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55D9AED8" w14:textId="77777777" w:rsidR="00335430" w:rsidRPr="00335430" w:rsidRDefault="00335430" w:rsidP="00335430">
            <w:pPr>
              <w:spacing w:before="0" w:after="0" w:line="240" w:lineRule="auto"/>
              <w:ind w:left="708" w:firstLine="660"/>
              <w:jc w:val="left"/>
              <w:rPr>
                <w:rFonts w:asciiTheme="minorHAnsi" w:eastAsiaTheme="minorHAnsi" w:hAnsiTheme="minorHAnsi" w:cstheme="minorHAnsi"/>
              </w:rPr>
            </w:pPr>
            <w:r w:rsidRPr="00335430">
              <w:rPr>
                <w:rFonts w:asciiTheme="minorHAnsi" w:eastAsiaTheme="minorHAnsi" w:hAnsiTheme="minorHAnsi" w:cstheme="minorHAnsi"/>
              </w:rPr>
              <w:t>Desempenho Esperado (Benchmark)</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1B15767A"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0810D96B"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380491FC" w14:textId="77777777" w:rsidR="00335430" w:rsidRPr="00335430" w:rsidRDefault="00335430" w:rsidP="00335430">
            <w:pPr>
              <w:spacing w:before="0" w:after="0" w:line="240" w:lineRule="auto"/>
              <w:ind w:left="708" w:firstLine="660"/>
              <w:jc w:val="left"/>
              <w:rPr>
                <w:rFonts w:asciiTheme="minorHAnsi" w:eastAsiaTheme="minorHAnsi" w:hAnsiTheme="minorHAnsi" w:cstheme="minorHAnsi"/>
              </w:rPr>
            </w:pPr>
            <w:r w:rsidRPr="00335430">
              <w:rPr>
                <w:rFonts w:asciiTheme="minorHAnsi" w:eastAsiaTheme="minorHAnsi" w:hAnsiTheme="minorHAnsi" w:cstheme="minorHAnsi"/>
              </w:rPr>
              <w:t>Desempenho Realizado (Rentabilidade no Mês)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2261413F"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73E93B80"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097194F2" w14:textId="77777777" w:rsidR="00335430" w:rsidRPr="00335430" w:rsidRDefault="00335430" w:rsidP="00335430">
            <w:pPr>
              <w:spacing w:before="0" w:after="0" w:line="240" w:lineRule="auto"/>
              <w:ind w:firstLine="1226"/>
              <w:jc w:val="left"/>
              <w:rPr>
                <w:rFonts w:asciiTheme="minorHAnsi" w:eastAsiaTheme="minorHAnsi" w:hAnsiTheme="minorHAnsi" w:cstheme="minorHAnsi"/>
              </w:rPr>
            </w:pPr>
            <w:r w:rsidRPr="00335430">
              <w:rPr>
                <w:rFonts w:asciiTheme="minorHAnsi" w:eastAsiaTheme="minorHAnsi" w:hAnsiTheme="minorHAnsi" w:cstheme="minorHAnsi"/>
              </w:rPr>
              <w:t xml:space="preserve">  Série 2</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656BCECB"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78E76BE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559CA412" w14:textId="77777777" w:rsidR="00335430" w:rsidRPr="00335430" w:rsidRDefault="00335430" w:rsidP="00335430">
            <w:pPr>
              <w:spacing w:before="0" w:after="0" w:line="240" w:lineRule="auto"/>
              <w:ind w:left="1247" w:firstLine="121"/>
              <w:jc w:val="left"/>
              <w:rPr>
                <w:rFonts w:asciiTheme="minorHAnsi" w:eastAsiaTheme="minorHAnsi" w:hAnsiTheme="minorHAnsi" w:cstheme="minorHAnsi"/>
              </w:rPr>
            </w:pPr>
            <w:r w:rsidRPr="00335430">
              <w:rPr>
                <w:rFonts w:asciiTheme="minorHAnsi" w:eastAsiaTheme="minorHAnsi" w:hAnsiTheme="minorHAnsi" w:cstheme="minorHAnsi"/>
              </w:rPr>
              <w:t>Desempenho Esperado (Benchmark)</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754F2911"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6E060F5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61239180" w14:textId="77777777" w:rsidR="00335430" w:rsidRPr="00335430" w:rsidRDefault="00335430" w:rsidP="00335430">
            <w:pPr>
              <w:spacing w:before="0" w:after="0" w:line="240" w:lineRule="auto"/>
              <w:ind w:left="1247" w:firstLine="121"/>
              <w:jc w:val="left"/>
              <w:rPr>
                <w:rFonts w:asciiTheme="minorHAnsi" w:eastAsiaTheme="minorHAnsi" w:hAnsiTheme="minorHAnsi" w:cstheme="minorHAnsi"/>
              </w:rPr>
            </w:pPr>
            <w:r w:rsidRPr="00335430">
              <w:rPr>
                <w:rFonts w:asciiTheme="minorHAnsi" w:eastAsiaTheme="minorHAnsi" w:hAnsiTheme="minorHAnsi" w:cstheme="minorHAnsi"/>
              </w:rPr>
              <w:t>Desempenho Realizado (Rentabilidade no Mês)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2C91BCD5"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38765C92"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7987863F" w14:textId="77777777" w:rsidR="00335430" w:rsidRPr="00335430" w:rsidRDefault="00335430" w:rsidP="00335430">
            <w:pPr>
              <w:spacing w:before="0" w:after="0" w:line="240" w:lineRule="auto"/>
              <w:ind w:firstLine="801"/>
              <w:jc w:val="left"/>
              <w:rPr>
                <w:rFonts w:asciiTheme="minorHAnsi" w:eastAsiaTheme="minorHAnsi" w:hAnsiTheme="minorHAnsi" w:cstheme="minorHAnsi"/>
              </w:rPr>
            </w:pPr>
            <w:r w:rsidRPr="00335430">
              <w:rPr>
                <w:rFonts w:asciiTheme="minorHAnsi" w:eastAsiaTheme="minorHAnsi" w:hAnsiTheme="minorHAnsi" w:cstheme="minorHAnsi"/>
              </w:rPr>
              <w:t>....</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5F3612A6"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6F669A6C"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2FCA26F4" w14:textId="77777777" w:rsidR="00335430" w:rsidRPr="00335430" w:rsidRDefault="00335430" w:rsidP="00335430">
            <w:pPr>
              <w:spacing w:before="0" w:after="0" w:line="240" w:lineRule="auto"/>
              <w:ind w:firstLine="0"/>
              <w:jc w:val="left"/>
              <w:rPr>
                <w:rFonts w:asciiTheme="minorHAnsi" w:eastAsiaTheme="minorHAnsi" w:hAnsiTheme="minorHAnsi" w:cstheme="minorHAnsi"/>
              </w:rPr>
            </w:pPr>
            <w:r w:rsidRPr="00335430">
              <w:rPr>
                <w:rFonts w:asciiTheme="minorHAnsi" w:eastAsiaTheme="minorHAnsi" w:hAnsiTheme="minorHAnsi" w:cstheme="minorHAnsi"/>
              </w:rPr>
              <w:t xml:space="preserve">6.3) Subclasse Subordinada </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79453747"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42F325DD"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4E3F1659" w14:textId="77777777" w:rsidR="00335430" w:rsidRPr="00335430" w:rsidRDefault="00335430" w:rsidP="00335430">
            <w:pPr>
              <w:spacing w:before="0" w:after="0" w:line="240" w:lineRule="auto"/>
              <w:ind w:left="1247" w:firstLine="121"/>
              <w:jc w:val="left"/>
              <w:rPr>
                <w:rFonts w:asciiTheme="minorHAnsi" w:eastAsiaTheme="minorHAnsi" w:hAnsiTheme="minorHAnsi" w:cstheme="minorHAnsi"/>
              </w:rPr>
            </w:pPr>
            <w:r w:rsidRPr="00335430">
              <w:rPr>
                <w:rFonts w:asciiTheme="minorHAnsi" w:eastAsiaTheme="minorHAnsi" w:hAnsiTheme="minorHAnsi" w:cstheme="minorHAnsi"/>
              </w:rPr>
              <w:t>Desempenho Esperado (Benchmark)</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65492A93"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7FFE52E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tcPr>
          <w:p w14:paraId="05006EAC" w14:textId="77777777" w:rsidR="00335430" w:rsidRPr="00335430" w:rsidRDefault="00335430" w:rsidP="00335430">
            <w:pPr>
              <w:spacing w:before="0" w:after="0" w:line="240" w:lineRule="auto"/>
              <w:ind w:left="1247" w:firstLine="121"/>
              <w:jc w:val="left"/>
              <w:rPr>
                <w:rFonts w:asciiTheme="minorHAnsi" w:eastAsiaTheme="minorHAnsi" w:hAnsiTheme="minorHAnsi" w:cstheme="minorHAnsi"/>
              </w:rPr>
            </w:pPr>
            <w:r w:rsidRPr="00335430">
              <w:rPr>
                <w:rFonts w:asciiTheme="minorHAnsi" w:eastAsiaTheme="minorHAnsi" w:hAnsiTheme="minorHAnsi" w:cstheme="minorHAnsi"/>
              </w:rPr>
              <w:t>Desempenho Realizado (Rentabilidade no Mês)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7CA278B9"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3B896878" w14:textId="77777777" w:rsidTr="0026168E">
        <w:trPr>
          <w:gridAfter w:val="2"/>
          <w:wAfter w:w="55" w:type="pct"/>
        </w:trPr>
        <w:tc>
          <w:tcPr>
            <w:tcW w:w="35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BF784E"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7) Garantias</w:t>
            </w:r>
          </w:p>
        </w:tc>
        <w:tc>
          <w:tcPr>
            <w:tcW w:w="1353" w:type="pct"/>
            <w:tcBorders>
              <w:top w:val="outset" w:sz="6" w:space="0" w:color="auto"/>
              <w:left w:val="outset" w:sz="6" w:space="0" w:color="auto"/>
              <w:bottom w:val="outset" w:sz="6" w:space="0" w:color="auto"/>
              <w:right w:val="outset" w:sz="6" w:space="0" w:color="auto"/>
            </w:tcBorders>
            <w:shd w:val="clear" w:color="auto" w:fill="auto"/>
            <w:vAlign w:val="center"/>
          </w:tcPr>
          <w:p w14:paraId="7E772312"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0E8E3CA6" w14:textId="77777777" w:rsidTr="0026168E">
        <w:trPr>
          <w:gridAfter w:val="2"/>
          <w:wAfter w:w="55" w:type="pct"/>
        </w:trPr>
        <w:tc>
          <w:tcPr>
            <w:tcW w:w="3591" w:type="pct"/>
            <w:tcBorders>
              <w:top w:val="outset" w:sz="6" w:space="0" w:color="auto"/>
              <w:left w:val="outset" w:sz="6" w:space="0" w:color="auto"/>
              <w:bottom w:val="nil"/>
              <w:right w:val="single" w:sz="4" w:space="0" w:color="auto"/>
            </w:tcBorders>
            <w:shd w:val="clear" w:color="auto" w:fill="auto"/>
            <w:vAlign w:val="center"/>
            <w:hideMark/>
          </w:tcPr>
          <w:p w14:paraId="2179920C"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7.1) Valor total das garantias vinculadas aos direitos creditórios</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4FE490A7"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5E4A7EFD" w14:textId="77777777" w:rsidTr="0026168E">
        <w:trPr>
          <w:gridAfter w:val="2"/>
          <w:wAfter w:w="55"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hideMark/>
          </w:tcPr>
          <w:p w14:paraId="01B967F4"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7.2) Percentual dos direitos creditórios com garantias vinculadas</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40D59F3B"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0C3BFA7A" w14:textId="77777777" w:rsidTr="0026168E">
        <w:trPr>
          <w:gridAfter w:val="2"/>
          <w:wAfter w:w="55"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6AF6979C"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8) Resumo das informações prestadas pelo FIDC ao Sistema de Informações de Crédito – SCR do Banco Central do Brasil:</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1232480"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267525BA" w14:textId="77777777" w:rsidTr="0026168E">
        <w:trPr>
          <w:gridAfter w:val="2"/>
          <w:wAfter w:w="55"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7404C1BB"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8.1) Valor total dos direitos creditórios reportados ao SCR com base nas classificações de risco dos devedores:</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7589119A"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62DAF105" w14:textId="77777777" w:rsidTr="0026168E">
        <w:trPr>
          <w:gridAfter w:val="2"/>
          <w:wAfter w:w="55"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77350FE2"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AA</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49AF3D99"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23AECF55" w14:textId="77777777" w:rsidTr="0026168E">
        <w:trPr>
          <w:gridAfter w:val="2"/>
          <w:wAfter w:w="55"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045D2FE0"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A</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6025CCD"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074E4408" w14:textId="77777777" w:rsidTr="0026168E">
        <w:trPr>
          <w:gridAfter w:val="2"/>
          <w:wAfter w:w="55"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0454C5D3"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B</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4335F03E"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42483D37" w14:textId="77777777" w:rsidTr="0026168E">
        <w:trPr>
          <w:gridAfter w:val="2"/>
          <w:wAfter w:w="55"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6094A1A6"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C</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410A46BB"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27AA33A8" w14:textId="77777777" w:rsidTr="0026168E">
        <w:trPr>
          <w:gridAfter w:val="2"/>
          <w:wAfter w:w="55"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6861332E"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D</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73F5617F"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414E0856" w14:textId="77777777" w:rsidTr="0026168E">
        <w:trPr>
          <w:gridAfter w:val="2"/>
          <w:wAfter w:w="55"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478C8ADF"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E</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75B87ADB"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7D890615" w14:textId="77777777" w:rsidTr="0026168E">
        <w:trPr>
          <w:gridAfter w:val="2"/>
          <w:wAfter w:w="55"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69A2B0EB"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lastRenderedPageBreak/>
              <w:t>F</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216A13DF"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52934067" w14:textId="77777777" w:rsidTr="0026168E">
        <w:trPr>
          <w:gridAfter w:val="2"/>
          <w:wAfter w:w="55"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0CBB5D0D"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G</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AED744C"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1E82D16E" w14:textId="77777777" w:rsidTr="0026168E">
        <w:trPr>
          <w:gridAfter w:val="2"/>
          <w:wAfter w:w="55"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761AA37B"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H</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76FE8D62"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27AB6241" w14:textId="77777777" w:rsidTr="0026168E">
        <w:trPr>
          <w:gridAfter w:val="2"/>
          <w:wAfter w:w="55"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1BA920EF"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8.2) Valor total dos direitos creditórios reportados ao SCR com base nas classificações de risco das operações:</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42613E9A"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65E53727" w14:textId="77777777" w:rsidTr="0026168E">
        <w:trPr>
          <w:gridAfter w:val="2"/>
          <w:wAfter w:w="55"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74E515F3"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AA</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3881047"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2F6652F0" w14:textId="77777777" w:rsidTr="0026168E">
        <w:trPr>
          <w:gridAfter w:val="2"/>
          <w:wAfter w:w="55"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2581B853"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A</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7C8903DE"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1F240EBB" w14:textId="77777777" w:rsidTr="0026168E">
        <w:trPr>
          <w:gridAfter w:val="2"/>
          <w:wAfter w:w="55"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03887B43"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B</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25ED640D"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310FCE28" w14:textId="77777777" w:rsidTr="0026168E">
        <w:trPr>
          <w:gridAfter w:val="2"/>
          <w:wAfter w:w="55"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4555E4C4"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C</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B35FBF6"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4E54918C" w14:textId="77777777" w:rsidTr="0026168E">
        <w:trPr>
          <w:gridAfter w:val="2"/>
          <w:wAfter w:w="55"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46649A70"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D</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C85A696"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61EFA1D7" w14:textId="77777777" w:rsidTr="0026168E">
        <w:trPr>
          <w:gridAfter w:val="2"/>
          <w:wAfter w:w="55"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1D608586"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E</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AEF1B1B"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75FCCFF2" w14:textId="77777777" w:rsidTr="0026168E">
        <w:trPr>
          <w:gridAfter w:val="2"/>
          <w:wAfter w:w="55"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41209670"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F</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A381EA8"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73E825C3" w14:textId="77777777" w:rsidTr="0026168E">
        <w:trPr>
          <w:gridAfter w:val="2"/>
          <w:wAfter w:w="55"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7EC26A9A"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G</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380812C"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63DEAE58" w14:textId="77777777" w:rsidTr="0026168E">
        <w:trPr>
          <w:gridAfter w:val="2"/>
          <w:wAfter w:w="55"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2BFD8D32"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rPr>
              <w:t>H</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391E8B9C"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p>
        </w:tc>
      </w:tr>
      <w:tr w:rsidR="00335430" w:rsidRPr="00335430" w14:paraId="6A0384F2" w14:textId="77777777" w:rsidTr="0026168E">
        <w:trPr>
          <w:gridAfter w:val="1"/>
          <w:wAfter w:w="23"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70D35B87"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themeColor="text1"/>
              </w:rPr>
              <w:t>9) Regularidade tributária dos cedentes:</w:t>
            </w:r>
          </w:p>
        </w:tc>
        <w:tc>
          <w:tcPr>
            <w:tcW w:w="1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B4A04" w14:textId="77777777" w:rsidR="00335430" w:rsidRPr="00335430" w:rsidRDefault="00335430" w:rsidP="00335430">
            <w:pPr>
              <w:spacing w:before="0" w:after="0" w:line="240" w:lineRule="auto"/>
              <w:ind w:right="-192" w:firstLine="0"/>
              <w:jc w:val="left"/>
              <w:rPr>
                <w:rFonts w:asciiTheme="minorHAnsi" w:eastAsiaTheme="minorHAnsi" w:hAnsiTheme="minorHAnsi" w:cstheme="minorHAnsi"/>
                <w:color w:val="000000"/>
              </w:rPr>
            </w:pPr>
          </w:p>
        </w:tc>
      </w:tr>
      <w:tr w:rsidR="00335430" w:rsidRPr="00335430" w14:paraId="738F28EA" w14:textId="77777777" w:rsidTr="0026168E">
        <w:trPr>
          <w:gridAfter w:val="1"/>
          <w:wAfter w:w="23" w:type="pct"/>
        </w:trPr>
        <w:tc>
          <w:tcPr>
            <w:tcW w:w="3591" w:type="pct"/>
            <w:tcBorders>
              <w:top w:val="outset" w:sz="6" w:space="0" w:color="auto"/>
              <w:left w:val="outset" w:sz="6" w:space="0" w:color="auto"/>
              <w:bottom w:val="outset" w:sz="6" w:space="0" w:color="auto"/>
              <w:right w:val="single" w:sz="4" w:space="0" w:color="auto"/>
            </w:tcBorders>
            <w:shd w:val="clear" w:color="auto" w:fill="auto"/>
            <w:vAlign w:val="center"/>
          </w:tcPr>
          <w:p w14:paraId="24101DBE" w14:textId="77777777" w:rsidR="00335430" w:rsidRPr="00335430" w:rsidRDefault="00335430" w:rsidP="00335430">
            <w:pPr>
              <w:spacing w:before="0" w:after="0" w:line="240" w:lineRule="auto"/>
              <w:ind w:firstLine="0"/>
              <w:jc w:val="left"/>
              <w:rPr>
                <w:rFonts w:asciiTheme="minorHAnsi" w:eastAsiaTheme="minorHAnsi" w:hAnsiTheme="minorHAnsi" w:cstheme="minorHAnsi"/>
                <w:color w:val="000000"/>
              </w:rPr>
            </w:pPr>
            <w:r w:rsidRPr="00335430">
              <w:rPr>
                <w:rFonts w:asciiTheme="minorHAnsi" w:eastAsiaTheme="minorHAnsi" w:hAnsiTheme="minorHAnsi" w:cstheme="minorHAnsi"/>
                <w:color w:val="000000" w:themeColor="text1"/>
              </w:rPr>
              <w:t>9.1) Valor total dos direitos creditórios cedidos por cedentes que possuem débitos tributários inscritos em Dívida Ativa da União</w:t>
            </w:r>
          </w:p>
        </w:tc>
        <w:tc>
          <w:tcPr>
            <w:tcW w:w="1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1D618" w14:textId="77777777" w:rsidR="00335430" w:rsidRPr="00335430" w:rsidRDefault="00335430" w:rsidP="00335430">
            <w:pPr>
              <w:spacing w:before="0" w:after="0" w:line="240" w:lineRule="auto"/>
              <w:ind w:right="-192" w:firstLine="0"/>
              <w:jc w:val="left"/>
              <w:rPr>
                <w:rFonts w:asciiTheme="minorHAnsi" w:eastAsiaTheme="minorHAnsi" w:hAnsiTheme="minorHAnsi" w:cstheme="minorHAnsi"/>
                <w:color w:val="000000"/>
              </w:rPr>
            </w:pPr>
          </w:p>
        </w:tc>
      </w:tr>
    </w:tbl>
    <w:p w14:paraId="1BB9A87E" w14:textId="571E744F" w:rsidR="00E76A97" w:rsidRDefault="00F8326D" w:rsidP="00F8326D">
      <w:pPr>
        <w:pStyle w:val="NormaAlterada"/>
        <w:ind w:left="0" w:firstLine="567"/>
      </w:pPr>
      <w:r w:rsidRPr="00180539">
        <w:t xml:space="preserve">Art. </w:t>
      </w:r>
      <w:r w:rsidR="00335430">
        <w:t>5</w:t>
      </w:r>
      <w:r w:rsidRPr="00180539">
        <w:t xml:space="preserve">º  </w:t>
      </w:r>
      <w:r>
        <w:t>Fica</w:t>
      </w:r>
      <w:r w:rsidR="00E76A97">
        <w:t>m</w:t>
      </w:r>
      <w:r>
        <w:t xml:space="preserve"> revogado</w:t>
      </w:r>
      <w:r w:rsidR="00E76A97">
        <w:t>s os seguintes dispositivos da Resolução CVM nº 175, de 23 de dezembro de 2022:</w:t>
      </w:r>
    </w:p>
    <w:p w14:paraId="33B7BC75" w14:textId="2A141E2F" w:rsidR="00F8326D" w:rsidRDefault="00E76A97" w:rsidP="00F8326D">
      <w:pPr>
        <w:pStyle w:val="NormaAlterada"/>
        <w:ind w:left="0" w:firstLine="567"/>
      </w:pPr>
      <w:r>
        <w:t xml:space="preserve">I – </w:t>
      </w:r>
      <w:r w:rsidR="00F8326D">
        <w:t>o art. 16, parágrafo único</w:t>
      </w:r>
      <w:r w:rsidR="45E2ACFF">
        <w:t>,</w:t>
      </w:r>
      <w:r w:rsidR="0067088C">
        <w:t xml:space="preserve"> </w:t>
      </w:r>
      <w:r w:rsidR="00F8326D">
        <w:t>da</w:t>
      </w:r>
      <w:r>
        <w:t xml:space="preserve"> </w:t>
      </w:r>
      <w:r w:rsidR="00F8326D">
        <w:t>parte geral</w:t>
      </w:r>
      <w:r>
        <w:t>;</w:t>
      </w:r>
    </w:p>
    <w:p w14:paraId="0220B197" w14:textId="385D17B7" w:rsidR="00E76A97" w:rsidRDefault="00E76A97" w:rsidP="00F8326D">
      <w:pPr>
        <w:pStyle w:val="NormaAlterada"/>
        <w:ind w:left="0" w:firstLine="567"/>
      </w:pPr>
      <w:r>
        <w:t>II – o art. 48, § 1º, inciso V</w:t>
      </w:r>
      <w:r w:rsidR="00157E8E">
        <w:t>I</w:t>
      </w:r>
      <w:r>
        <w:t>I</w:t>
      </w:r>
      <w:r w:rsidR="71D80126">
        <w:t>,</w:t>
      </w:r>
      <w:r w:rsidR="0067088C">
        <w:t xml:space="preserve"> </w:t>
      </w:r>
      <w:r>
        <w:t>da parte geral;</w:t>
      </w:r>
    </w:p>
    <w:p w14:paraId="7D536742" w14:textId="2DD93826" w:rsidR="00A34205" w:rsidRDefault="00A34205" w:rsidP="00F8326D">
      <w:pPr>
        <w:pStyle w:val="NormaAlterada"/>
        <w:ind w:left="0" w:firstLine="567"/>
      </w:pPr>
      <w:r>
        <w:t>III – o art. 121, inciso II</w:t>
      </w:r>
      <w:r w:rsidR="2C8CDAEE">
        <w:t>,</w:t>
      </w:r>
      <w:r w:rsidR="0067088C">
        <w:t xml:space="preserve"> </w:t>
      </w:r>
      <w:r>
        <w:t>da parte geral;</w:t>
      </w:r>
    </w:p>
    <w:p w14:paraId="38111241" w14:textId="04F33273" w:rsidR="00122A91" w:rsidRDefault="00122A91" w:rsidP="00122A91">
      <w:pPr>
        <w:pStyle w:val="NormaAlterada"/>
        <w:ind w:left="0" w:firstLine="567"/>
      </w:pPr>
      <w:r>
        <w:t xml:space="preserve">IV – o art. 140, </w:t>
      </w:r>
      <w:r w:rsidR="0067088C">
        <w:t>§ 3º</w:t>
      </w:r>
      <w:r w:rsidR="28188DB2">
        <w:t>,</w:t>
      </w:r>
      <w:r w:rsidR="0067088C">
        <w:t xml:space="preserve"> </w:t>
      </w:r>
      <w:r>
        <w:t>da parte geral;</w:t>
      </w:r>
    </w:p>
    <w:p w14:paraId="51F26D42" w14:textId="60724C56" w:rsidR="00122A91" w:rsidRDefault="003A612E" w:rsidP="00F8326D">
      <w:pPr>
        <w:pStyle w:val="NormaAlterada"/>
        <w:ind w:left="0" w:firstLine="567"/>
      </w:pPr>
      <w:r>
        <w:t>V – o art. 30, §</w:t>
      </w:r>
      <w:r w:rsidR="00DB3882">
        <w:t>§</w:t>
      </w:r>
      <w:r>
        <w:t xml:space="preserve"> 2º</w:t>
      </w:r>
      <w:r w:rsidR="00FA7EC0">
        <w:t>,</w:t>
      </w:r>
      <w:r w:rsidR="00DB3882">
        <w:t xml:space="preserve"> 3º</w:t>
      </w:r>
      <w:r>
        <w:t xml:space="preserve"> </w:t>
      </w:r>
      <w:r w:rsidR="00FA7EC0">
        <w:t>e 4º</w:t>
      </w:r>
      <w:r w:rsidR="0F06D987">
        <w:t>,</w:t>
      </w:r>
      <w:r w:rsidR="00FA7EC0">
        <w:t xml:space="preserve"> </w:t>
      </w:r>
      <w:r>
        <w:t>do Anexo Normativo II.</w:t>
      </w:r>
    </w:p>
    <w:p w14:paraId="532A015D" w14:textId="388ABC4B" w:rsidR="00F8326D" w:rsidRPr="00D87A11" w:rsidRDefault="00F8326D" w:rsidP="00F8326D">
      <w:pPr>
        <w:pStyle w:val="NormaAlterada"/>
        <w:ind w:left="0" w:firstLine="567"/>
        <w:rPr>
          <w:color w:val="000000"/>
        </w:rPr>
      </w:pPr>
      <w:r>
        <w:t xml:space="preserve">Art. </w:t>
      </w:r>
      <w:r w:rsidR="00A53267">
        <w:t>6</w:t>
      </w:r>
      <w:r>
        <w:t xml:space="preserve">º  </w:t>
      </w:r>
      <w:r w:rsidRPr="19D1EC44">
        <w:rPr>
          <w:rStyle w:val="normaltextrun"/>
          <w:color w:val="000000" w:themeColor="text1"/>
        </w:rPr>
        <w:t xml:space="preserve">Esta Resolução entra em vigor em </w:t>
      </w:r>
      <w:r w:rsidR="66903A66">
        <w:t>3</w:t>
      </w:r>
      <w:r w:rsidR="04C17FF8">
        <w:t>1</w:t>
      </w:r>
      <w:r w:rsidRPr="19D1EC44">
        <w:rPr>
          <w:rStyle w:val="normaltextrun"/>
          <w:color w:val="000000" w:themeColor="text1"/>
        </w:rPr>
        <w:t xml:space="preserve"> de </w:t>
      </w:r>
      <w:r w:rsidR="11D4954F">
        <w:t>mar</w:t>
      </w:r>
      <w:r w:rsidR="56B05324">
        <w:t>ço d</w:t>
      </w:r>
      <w:r w:rsidRPr="19D1EC44">
        <w:rPr>
          <w:rStyle w:val="normaltextrun"/>
          <w:color w:val="000000" w:themeColor="text1"/>
        </w:rPr>
        <w:t xml:space="preserve">e </w:t>
      </w:r>
      <w:r>
        <w:t>2023</w:t>
      </w:r>
      <w:r w:rsidRPr="19D1EC44">
        <w:rPr>
          <w:rStyle w:val="normaltextrun"/>
          <w:color w:val="000000" w:themeColor="text1"/>
        </w:rPr>
        <w:t>.</w:t>
      </w:r>
    </w:p>
    <w:p w14:paraId="66D0014C" w14:textId="77777777" w:rsidR="0026168E" w:rsidRDefault="0026168E" w:rsidP="0026168E">
      <w:pPr>
        <w:widowControl w:val="0"/>
        <w:spacing w:before="0" w:after="0" w:line="240" w:lineRule="auto"/>
        <w:jc w:val="center"/>
        <w:rPr>
          <w:bCs/>
          <w:i/>
        </w:rPr>
      </w:pPr>
    </w:p>
    <w:p w14:paraId="1827106A" w14:textId="1B74B1A7" w:rsidR="0026168E" w:rsidRDefault="000019D4" w:rsidP="0026168E">
      <w:pPr>
        <w:widowControl w:val="0"/>
        <w:spacing w:before="0" w:after="0" w:line="240" w:lineRule="auto"/>
        <w:jc w:val="center"/>
        <w:rPr>
          <w:bCs/>
          <w:i/>
        </w:rPr>
      </w:pPr>
      <w:r w:rsidRPr="00114DC5">
        <w:rPr>
          <w:bCs/>
          <w:i/>
        </w:rPr>
        <w:t>Assinado eletronicamente por</w:t>
      </w:r>
    </w:p>
    <w:p w14:paraId="04389E31" w14:textId="44B613EC" w:rsidR="0044460A" w:rsidRPr="00893D49" w:rsidRDefault="0044460A" w:rsidP="0026168E">
      <w:pPr>
        <w:widowControl w:val="0"/>
        <w:spacing w:before="0" w:after="0" w:line="240" w:lineRule="auto"/>
        <w:jc w:val="center"/>
        <w:rPr>
          <w:rFonts w:asciiTheme="minorHAnsi" w:hAnsiTheme="minorHAnsi" w:cstheme="minorBidi"/>
          <w:b/>
          <w:bCs/>
          <w:smallCaps/>
        </w:rPr>
      </w:pPr>
      <w:r w:rsidRPr="234C2EA1">
        <w:rPr>
          <w:rFonts w:asciiTheme="minorHAnsi" w:hAnsiTheme="minorHAnsi" w:cstheme="minorBidi"/>
          <w:b/>
          <w:bCs/>
          <w:smallCaps/>
        </w:rPr>
        <w:t>JOÃO PEDRO BARROSO DO NASCIMENTO</w:t>
      </w:r>
    </w:p>
    <w:p w14:paraId="0B195E2C" w14:textId="77777777" w:rsidR="0044460A" w:rsidRDefault="0044460A" w:rsidP="0026168E">
      <w:pPr>
        <w:pStyle w:val="NormalWeb"/>
        <w:spacing w:before="0" w:beforeAutospacing="0" w:after="0" w:afterAutospacing="0"/>
        <w:ind w:firstLine="567"/>
        <w:jc w:val="center"/>
        <w:rPr>
          <w:rFonts w:asciiTheme="minorHAnsi" w:hAnsiTheme="minorHAnsi" w:cstheme="minorHAnsi"/>
          <w:b/>
        </w:rPr>
      </w:pPr>
      <w:r w:rsidRPr="00893D49">
        <w:rPr>
          <w:rFonts w:asciiTheme="minorHAnsi" w:hAnsiTheme="minorHAnsi" w:cstheme="minorHAnsi"/>
          <w:b/>
        </w:rPr>
        <w:t>Presidente</w:t>
      </w:r>
    </w:p>
    <w:sectPr w:rsidR="0044460A" w:rsidSect="00E25581">
      <w:headerReference w:type="even" r:id="rId11"/>
      <w:headerReference w:type="default" r:id="rId12"/>
      <w:headerReference w:type="first" r:id="rId13"/>
      <w:pgSz w:w="11906" w:h="16838" w:code="9"/>
      <w:pgMar w:top="2268" w:right="567" w:bottom="851" w:left="1134"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B2C3A9" w16cex:dateUtc="2023-03-08T07:35:00Z"/>
  <w16cex:commentExtensible w16cex:durableId="27B2C40B" w16cex:dateUtc="2023-03-08T07:37:00Z"/>
  <w16cex:commentExtensible w16cex:durableId="27B2C429" w16cex:dateUtc="2023-03-08T07:38:00Z"/>
  <w16cex:commentExtensible w16cex:durableId="27B2C56A" w16cex:dateUtc="2023-03-08T07:43:00Z"/>
  <w16cex:commentExtensible w16cex:durableId="27B2C4CD" w16cex:dateUtc="2023-03-08T07:40:00Z"/>
  <w16cex:commentExtensible w16cex:durableId="6F729516" w16cex:dateUtc="2023-03-22T22:44:19.38Z"/>
</w16cex:commentsExtensible>
</file>

<file path=word/commentsIds.xml><?xml version="1.0" encoding="utf-8"?>
<w16cid:commentsIds xmlns:mc="http://schemas.openxmlformats.org/markup-compatibility/2006" xmlns:w16cid="http://schemas.microsoft.com/office/word/2016/wordml/cid" mc:Ignorable="w16cid">
  <w16cid:commentId w16cid:paraId="700C1214" w16cid:durableId="27B2C108"/>
  <w16cid:commentId w16cid:paraId="22061771" w16cid:durableId="27B2C3A9"/>
  <w16cid:commentId w16cid:paraId="6CB2DA82" w16cid:durableId="27B2C109"/>
  <w16cid:commentId w16cid:paraId="1A45B01F" w16cid:durableId="27B2C40B"/>
  <w16cid:commentId w16cid:paraId="2475B034" w16cid:durableId="27B2C10A"/>
  <w16cid:commentId w16cid:paraId="436EA460" w16cid:durableId="27B2C429"/>
  <w16cid:commentId w16cid:paraId="51F581D9" w16cid:durableId="27B2C10B"/>
  <w16cid:commentId w16cid:paraId="74E779DF" w16cid:durableId="27B2C56A"/>
  <w16cid:commentId w16cid:paraId="442DA0A5" w16cid:durableId="27B2C4CD"/>
  <w16cid:commentId w16cid:paraId="1F302D76" w16cid:durableId="703CA407"/>
  <w16cid:commentId w16cid:paraId="1535B376" w16cid:durableId="475E658C"/>
  <w16cid:commentId w16cid:paraId="4E114C6E" w16cid:durableId="699CE6BC"/>
  <w16cid:commentId w16cid:paraId="458F58C5" w16cid:durableId="122EE7A3"/>
  <w16cid:commentId w16cid:paraId="473BA100" w16cid:durableId="1BF9CB76"/>
  <w16cid:commentId w16cid:paraId="46CC93A7" w16cid:durableId="2D110C2A"/>
  <w16cid:commentId w16cid:paraId="5C865432" w16cid:durableId="55AF44FF"/>
  <w16cid:commentId w16cid:paraId="2CF28657" w16cid:durableId="127F3A6D"/>
  <w16cid:commentId w16cid:paraId="0261EA76" w16cid:durableId="19A04508"/>
  <w16cid:commentId w16cid:paraId="7E53B07B" w16cid:durableId="265597E3"/>
  <w16cid:commentId w16cid:paraId="6B9F7539" w16cid:durableId="444401D8"/>
  <w16cid:commentId w16cid:paraId="4AE340E0" w16cid:durableId="14793492"/>
  <w16cid:commentId w16cid:paraId="22F86729" w16cid:durableId="5D998ED2"/>
  <w16cid:commentId w16cid:paraId="57CB2921" w16cid:durableId="515F278C"/>
  <w16cid:commentId w16cid:paraId="4EF21274" w16cid:durableId="2A2CB8EB"/>
  <w16cid:commentId w16cid:paraId="6CC13634" w16cid:durableId="3F98CA68"/>
  <w16cid:commentId w16cid:paraId="609F35FC" w16cid:durableId="4B53CEBF"/>
  <w16cid:commentId w16cid:paraId="47ED84FD" w16cid:durableId="6355A69E"/>
  <w16cid:commentId w16cid:paraId="31819E0F" w16cid:durableId="0AFC876F"/>
  <w16cid:commentId w16cid:paraId="278F70FE" w16cid:durableId="61A856E2"/>
  <w16cid:commentId w16cid:paraId="38E1C3DF" w16cid:durableId="7E7D35A5"/>
  <w16cid:commentId w16cid:paraId="422EE843" w16cid:durableId="4B4E7612"/>
  <w16cid:commentId w16cid:paraId="08D5966A" w16cid:durableId="48F1F630"/>
  <w16cid:commentId w16cid:paraId="2CB54259" w16cid:durableId="56CBA3C3"/>
  <w16cid:commentId w16cid:paraId="4306BCA8" w16cid:durableId="0087962A"/>
  <w16cid:commentId w16cid:paraId="5BCCD9DB" w16cid:durableId="707C0439"/>
  <w16cid:commentId w16cid:paraId="4BEC4C65" w16cid:durableId="5057E52E"/>
  <w16cid:commentId w16cid:paraId="113D1FFB" w16cid:durableId="5DBF6B23"/>
  <w16cid:commentId w16cid:paraId="2F9A8757" w16cid:durableId="6F19F1AD"/>
  <w16cid:commentId w16cid:paraId="634DA7E0" w16cid:durableId="2A530CB5"/>
  <w16cid:commentId w16cid:paraId="02A22E0B" w16cid:durableId="5A294DF4"/>
  <w16cid:commentId w16cid:paraId="43939717" w16cid:durableId="2FBE346B"/>
  <w16cid:commentId w16cid:paraId="14985755" w16cid:durableId="1C669789"/>
  <w16cid:commentId w16cid:paraId="2717A588" w16cid:durableId="14A34277"/>
  <w16cid:commentId w16cid:paraId="65DD3B87" w16cid:durableId="7CA90F1A"/>
  <w16cid:commentId w16cid:paraId="3C1486D5" w16cid:durableId="581F3C9A"/>
  <w16cid:commentId w16cid:paraId="1E0C2785" w16cid:durableId="1FE4C8D1"/>
  <w16cid:commentId w16cid:paraId="0D8C109E" w16cid:durableId="338B83EC"/>
  <w16cid:commentId w16cid:paraId="2B9EC30A" w16cid:durableId="4DE1BD54"/>
  <w16cid:commentId w16cid:paraId="56217CD0" w16cid:durableId="46643C7D"/>
  <w16cid:commentId w16cid:paraId="4AF080E2" w16cid:durableId="6F7295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4AD0F" w14:textId="77777777" w:rsidR="009604B5" w:rsidRDefault="009604B5" w:rsidP="00ED1FB4">
      <w:r>
        <w:separator/>
      </w:r>
    </w:p>
  </w:endnote>
  <w:endnote w:type="continuationSeparator" w:id="0">
    <w:p w14:paraId="520E3B38" w14:textId="77777777" w:rsidR="009604B5" w:rsidRDefault="009604B5" w:rsidP="00ED1FB4">
      <w:r>
        <w:continuationSeparator/>
      </w:r>
    </w:p>
  </w:endnote>
  <w:endnote w:type="continuationNotice" w:id="1">
    <w:p w14:paraId="0DCBC977" w14:textId="77777777" w:rsidR="009604B5" w:rsidRDefault="009604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9FD78" w14:textId="77777777" w:rsidR="009604B5" w:rsidRDefault="009604B5" w:rsidP="00ED1FB4">
      <w:r>
        <w:separator/>
      </w:r>
    </w:p>
  </w:footnote>
  <w:footnote w:type="continuationSeparator" w:id="0">
    <w:p w14:paraId="710CEF51" w14:textId="77777777" w:rsidR="009604B5" w:rsidRDefault="009604B5" w:rsidP="00ED1FB4">
      <w:r>
        <w:continuationSeparator/>
      </w:r>
    </w:p>
  </w:footnote>
  <w:footnote w:type="continuationNotice" w:id="1">
    <w:p w14:paraId="4F892ADB" w14:textId="77777777" w:rsidR="009604B5" w:rsidRDefault="009604B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2EFC" w14:textId="77777777" w:rsidR="009604B5" w:rsidRDefault="009604B5" w:rsidP="00F41819">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3AA2776D" w14:textId="77777777" w:rsidR="009604B5" w:rsidRDefault="009604B5" w:rsidP="005233F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4138" w14:textId="77777777" w:rsidR="00553342" w:rsidRPr="00ED1FB4" w:rsidRDefault="00553342" w:rsidP="00553342">
    <w:pPr>
      <w:pStyle w:val="Rodap"/>
    </w:pPr>
    <w:r w:rsidRPr="00ED1FB4">
      <w:drawing>
        <wp:inline distT="0" distB="0" distL="0" distR="0" wp14:anchorId="06B253D6" wp14:editId="0246F07E">
          <wp:extent cx="657225" cy="628650"/>
          <wp:effectExtent l="0" t="0" r="9525" b="0"/>
          <wp:docPr id="4" name="Imagem 4"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919B69B" w14:textId="77777777" w:rsidR="00553342" w:rsidRPr="004D68A2" w:rsidRDefault="00553342" w:rsidP="00553342">
    <w:pPr>
      <w:pStyle w:val="Rodap"/>
      <w:rPr>
        <w:b/>
        <w:sz w:val="24"/>
        <w:szCs w:val="24"/>
      </w:rPr>
    </w:pPr>
    <w:r w:rsidRPr="004D68A2">
      <w:rPr>
        <w:b/>
        <w:sz w:val="24"/>
        <w:szCs w:val="24"/>
      </w:rPr>
      <w:t>COMISSÃO DE VALORES MOBILIÁRIOS</w:t>
    </w:r>
  </w:p>
  <w:p w14:paraId="1A7F4EE3" w14:textId="77777777" w:rsidR="00553342" w:rsidRPr="00ED1FB4" w:rsidRDefault="00553342" w:rsidP="00553342">
    <w:pPr>
      <w:pStyle w:val="Rodap"/>
    </w:pPr>
    <w:r w:rsidRPr="00ED1FB4">
      <w:t>Rua Sete de Setembro, 111/2-5º e 23-34º Andares, Centro, Rio de Janeiro/RJ – CEP: 20050-901 – Brasil - Tel.: (21) 3554-8686</w:t>
    </w:r>
  </w:p>
  <w:p w14:paraId="21020BEB" w14:textId="77777777" w:rsidR="00553342" w:rsidRPr="004D68A2" w:rsidRDefault="00553342" w:rsidP="00553342">
    <w:pPr>
      <w:pStyle w:val="Rodap"/>
    </w:pPr>
    <w:r w:rsidRPr="004D68A2">
      <w:t>Rua Cincinato Braga, 340/2º, 3º e 4º Andares, Bela Vista, São Paulo/ SP – CEP: 01333-010 – Brasil - Tel.: (11) 2146-2000</w:t>
    </w:r>
  </w:p>
  <w:p w14:paraId="66900BB6" w14:textId="77777777" w:rsidR="00553342" w:rsidRPr="00ED1FB4" w:rsidRDefault="00553342" w:rsidP="00553342">
    <w:pPr>
      <w:pStyle w:val="Rodap"/>
    </w:pPr>
    <w:r w:rsidRPr="00ED1FB4">
      <w:t>SCN Q.02 – Bl. A – Ed. Corporate Financial Center, S.404/4º Andar, Brasília/DF – CEP: 70712-900 – Brasil -Tel.: (61) 3327-2030/2031</w:t>
    </w:r>
  </w:p>
  <w:p w14:paraId="3F1E410D" w14:textId="77777777" w:rsidR="00553342" w:rsidRDefault="0026168E" w:rsidP="00553342">
    <w:pPr>
      <w:pStyle w:val="Rodap"/>
      <w:spacing w:after="240"/>
    </w:pPr>
    <w:hyperlink r:id="rId2" w:history="1">
      <w:r w:rsidR="00553342" w:rsidRPr="00ED1FB4">
        <w:rPr>
          <w:rStyle w:val="Hyperlink"/>
        </w:rPr>
        <w:t>www.cvm.gov.br</w:t>
      </w:r>
    </w:hyperlink>
  </w:p>
  <w:p w14:paraId="3B6004B0" w14:textId="2447A91D" w:rsidR="009604B5" w:rsidRPr="00810486" w:rsidRDefault="00810486" w:rsidP="00E25581">
    <w:pPr>
      <w:pStyle w:val="Rodap"/>
      <w:spacing w:after="240"/>
      <w:jc w:val="both"/>
      <w:rPr>
        <w:rFonts w:asciiTheme="minorHAnsi" w:hAnsiTheme="minorHAnsi" w:cstheme="minorHAnsi"/>
        <w:caps/>
      </w:rPr>
    </w:pPr>
    <w:r w:rsidRPr="00810486">
      <w:rPr>
        <w:rFonts w:asciiTheme="minorHAnsi" w:hAnsiTheme="minorHAnsi" w:cstheme="minorHAnsi"/>
        <w:caps/>
      </w:rPr>
      <w:t>r</w:t>
    </w:r>
    <w:r w:rsidR="009604B5" w:rsidRPr="00810486">
      <w:rPr>
        <w:rFonts w:asciiTheme="minorHAnsi" w:hAnsiTheme="minorHAnsi" w:cstheme="minorHAnsi"/>
        <w:caps/>
      </w:rPr>
      <w:t xml:space="preserve">ESOLUÇÃO CVM Nº </w:t>
    </w:r>
    <w:r w:rsidRPr="00810486">
      <w:rPr>
        <w:rFonts w:asciiTheme="minorHAnsi" w:hAnsiTheme="minorHAnsi" w:cstheme="minorHAnsi"/>
        <w:caps/>
      </w:rPr>
      <w:t>181, DE 28</w:t>
    </w:r>
    <w:r w:rsidR="009604B5" w:rsidRPr="00810486">
      <w:rPr>
        <w:rFonts w:asciiTheme="minorHAnsi" w:hAnsiTheme="minorHAnsi" w:cstheme="minorHAnsi"/>
        <w:caps/>
      </w:rPr>
      <w:t xml:space="preserve"> de </w:t>
    </w:r>
    <w:r w:rsidRPr="00810486">
      <w:rPr>
        <w:rFonts w:asciiTheme="minorHAnsi" w:hAnsiTheme="minorHAnsi" w:cstheme="minorHAnsi"/>
        <w:caps/>
      </w:rPr>
      <w:t>MARÇO</w:t>
    </w:r>
    <w:r w:rsidR="009604B5" w:rsidRPr="00810486">
      <w:rPr>
        <w:rFonts w:asciiTheme="minorHAnsi" w:hAnsiTheme="minorHAnsi" w:cstheme="minorHAnsi"/>
        <w:caps/>
      </w:rPr>
      <w:t xml:space="preserve"> de 2023</w:t>
    </w:r>
  </w:p>
  <w:p w14:paraId="6DA0B365" w14:textId="77777777" w:rsidR="009604B5" w:rsidRPr="005233F3" w:rsidRDefault="009604B5" w:rsidP="005233F3">
    <w:pPr>
      <w:pStyle w:val="Rodap"/>
      <w:jc w:val="both"/>
      <w:rPr>
        <w:rFonts w:ascii="Times New Roman" w:hAnsi="Times New Roman" w:cs="Times New Roman"/>
        <w: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C0A2E" w14:textId="77777777" w:rsidR="003B5930" w:rsidRPr="00ED1FB4" w:rsidRDefault="003B5930" w:rsidP="003B5930">
    <w:pPr>
      <w:pStyle w:val="Rodap"/>
    </w:pPr>
    <w:r w:rsidRPr="00ED1FB4">
      <w:drawing>
        <wp:inline distT="0" distB="0" distL="0" distR="0" wp14:anchorId="55304C67" wp14:editId="38EFFE22">
          <wp:extent cx="657225" cy="628650"/>
          <wp:effectExtent l="0" t="0" r="9525" b="0"/>
          <wp:docPr id="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4D2F5CA7" w14:textId="77777777" w:rsidR="003B5930" w:rsidRPr="004D68A2" w:rsidRDefault="003B5930" w:rsidP="003B5930">
    <w:pPr>
      <w:pStyle w:val="Rodap"/>
      <w:rPr>
        <w:b/>
        <w:sz w:val="24"/>
        <w:szCs w:val="24"/>
      </w:rPr>
    </w:pPr>
    <w:r w:rsidRPr="004D68A2">
      <w:rPr>
        <w:b/>
        <w:sz w:val="24"/>
        <w:szCs w:val="24"/>
      </w:rPr>
      <w:t>COMISSÃO DE VALORES MOBILIÁRIOS</w:t>
    </w:r>
  </w:p>
  <w:p w14:paraId="2D02599F" w14:textId="77777777" w:rsidR="003B5930" w:rsidRPr="00ED1FB4" w:rsidRDefault="003B5930" w:rsidP="003B5930">
    <w:pPr>
      <w:pStyle w:val="Rodap"/>
    </w:pPr>
    <w:r w:rsidRPr="00ED1FB4">
      <w:t>Rua Sete de Setembro, 111/2-5º e 23-34º Andares, Centro, Rio de Janeiro/RJ – CEP: 20050-901 – Brasil - Tel.: (21) 3554-8686</w:t>
    </w:r>
  </w:p>
  <w:p w14:paraId="4E34F244" w14:textId="77777777" w:rsidR="003B5930" w:rsidRPr="004D68A2" w:rsidRDefault="003B5930" w:rsidP="003B5930">
    <w:pPr>
      <w:pStyle w:val="Rodap"/>
    </w:pPr>
    <w:r w:rsidRPr="004D68A2">
      <w:t>Rua Cincinato Braga, 340/2º, 3º e 4º Andares, Bela Vista, São Paulo/ SP – CEP: 01333-010 – Brasil - Tel.: (11) 2146-2000</w:t>
    </w:r>
  </w:p>
  <w:p w14:paraId="603EFBCF" w14:textId="77777777" w:rsidR="003B5930" w:rsidRPr="00ED1FB4" w:rsidRDefault="003B5930" w:rsidP="003B5930">
    <w:pPr>
      <w:pStyle w:val="Rodap"/>
    </w:pPr>
    <w:r w:rsidRPr="00ED1FB4">
      <w:t>SCN Q.02 – Bl. A – Ed. Corporate Financial Center, S.404/4º Andar, Brasília/DF – CEP: 70712-900 – Brasil -Tel.: (61) 3327-2030/2031</w:t>
    </w:r>
  </w:p>
  <w:p w14:paraId="6B4F1D9F" w14:textId="77777777" w:rsidR="003B5930" w:rsidRDefault="0026168E" w:rsidP="003B5930">
    <w:pPr>
      <w:pStyle w:val="Rodap"/>
      <w:spacing w:after="240"/>
    </w:pPr>
    <w:hyperlink r:id="rId2" w:history="1">
      <w:r w:rsidR="003B5930" w:rsidRPr="00ED1FB4">
        <w:rPr>
          <w:rStyle w:val="Hyperlink"/>
        </w:rPr>
        <w:t>www.cvm.gov.br</w:t>
      </w:r>
    </w:hyperlink>
  </w:p>
  <w:p w14:paraId="14330992" w14:textId="77777777" w:rsidR="009604B5" w:rsidRPr="005233F3" w:rsidRDefault="009604B5" w:rsidP="005233F3">
    <w:pPr>
      <w:pStyle w:val="Rodap"/>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CE5D89"/>
    <w:multiLevelType w:val="multilevel"/>
    <w:tmpl w:val="5734D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1E3A7E"/>
    <w:multiLevelType w:val="multilevel"/>
    <w:tmpl w:val="6E92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D11EA"/>
    <w:multiLevelType w:val="multilevel"/>
    <w:tmpl w:val="CC2A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423A7F"/>
    <w:multiLevelType w:val="multilevel"/>
    <w:tmpl w:val="CD98E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50FE73C0"/>
    <w:multiLevelType w:val="multilevel"/>
    <w:tmpl w:val="96B4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0" w15:restartNumberingAfterBreak="0">
    <w:nsid w:val="72417C07"/>
    <w:multiLevelType w:val="multilevel"/>
    <w:tmpl w:val="E1226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7E0314"/>
    <w:multiLevelType w:val="multilevel"/>
    <w:tmpl w:val="8D161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 w:numId="7">
    <w:abstractNumId w:val="11"/>
  </w:num>
  <w:num w:numId="8">
    <w:abstractNumId w:val="10"/>
    <w:lvlOverride w:ilvl="0">
      <w:startOverride w:val="4"/>
    </w:lvlOverride>
  </w:num>
  <w:num w:numId="9">
    <w:abstractNumId w:val="10"/>
    <w:lvlOverride w:ilvl="0">
      <w:startOverride w:val="5"/>
    </w:lvlOverride>
  </w:num>
  <w:num w:numId="10">
    <w:abstractNumId w:val="10"/>
    <w:lvlOverride w:ilvl="0">
      <w:startOverride w:val="6"/>
    </w:lvlOverride>
  </w:num>
  <w:num w:numId="11">
    <w:abstractNumId w:val="10"/>
    <w:lvlOverride w:ilvl="0">
      <w:startOverride w:val="7"/>
    </w:lvlOverride>
  </w:num>
  <w:num w:numId="12">
    <w:abstractNumId w:val="5"/>
    <w:lvlOverride w:ilvl="0">
      <w:startOverride w:val="8"/>
    </w:lvlOverride>
  </w:num>
  <w:num w:numId="13">
    <w:abstractNumId w:val="5"/>
    <w:lvlOverride w:ilvl="0">
      <w:startOverride w:val="9"/>
    </w:lvlOverride>
  </w:num>
  <w:num w:numId="14">
    <w:abstractNumId w:val="5"/>
    <w:lvlOverride w:ilvl="0">
      <w:startOverride w:val="10"/>
    </w:lvlOverride>
  </w:num>
  <w:num w:numId="15">
    <w:abstractNumId w:val="5"/>
    <w:lvlOverride w:ilvl="0">
      <w:startOverride w:val="11"/>
    </w:lvlOverride>
  </w:num>
  <w:num w:numId="16">
    <w:abstractNumId w:val="5"/>
    <w:lvlOverride w:ilvl="0">
      <w:startOverride w:val="12"/>
    </w:lvlOverride>
  </w:num>
  <w:num w:numId="17">
    <w:abstractNumId w:val="5"/>
    <w:lvlOverride w:ilvl="0">
      <w:startOverride w:val="13"/>
    </w:lvlOverride>
  </w:num>
  <w:num w:numId="18">
    <w:abstractNumId w:val="6"/>
    <w:lvlOverride w:ilvl="0">
      <w:startOverride w:val="14"/>
    </w:lvlOverride>
  </w:num>
  <w:num w:numId="19">
    <w:abstractNumId w:val="6"/>
    <w:lvlOverride w:ilvl="0">
      <w:startOverride w:val="15"/>
    </w:lvlOverride>
  </w:num>
  <w:num w:numId="20">
    <w:abstractNumId w:val="6"/>
    <w:lvlOverride w:ilvl="0">
      <w:startOverride w:val="16"/>
    </w:lvlOverride>
  </w:num>
  <w:num w:numId="21">
    <w:abstractNumId w:val="6"/>
    <w:lvlOverride w:ilvl="0">
      <w:startOverride w:val="17"/>
    </w:lvlOverride>
  </w:num>
  <w:num w:numId="22">
    <w:abstractNumId w:val="3"/>
    <w:lvlOverride w:ilvl="0">
      <w:startOverride w:val="18"/>
    </w:lvlOverride>
  </w:num>
  <w:num w:numId="23">
    <w:abstractNumId w:val="3"/>
    <w:lvlOverride w:ilvl="0">
      <w:startOverride w:val="19"/>
    </w:lvlOverride>
  </w:num>
  <w:num w:numId="24">
    <w:abstractNumId w:val="3"/>
    <w:lvlOverride w:ilvl="0">
      <w:startOverride w:val="20"/>
    </w:lvlOverride>
  </w:num>
  <w:num w:numId="25">
    <w:abstractNumId w:val="3"/>
    <w:lvlOverride w:ilvl="0">
      <w:startOverride w:val="21"/>
    </w:lvlOverride>
  </w:num>
  <w:num w:numId="26">
    <w:abstractNumId w:val="8"/>
    <w:lvlOverride w:ilvl="0">
      <w:startOverride w:val="22"/>
    </w:lvlOverride>
  </w:num>
  <w:num w:numId="27">
    <w:abstractNumId w:val="8"/>
    <w:lvlOverride w:ilvl="0">
      <w:startOverride w:val="23"/>
    </w:lvlOverride>
  </w:num>
  <w:num w:numId="28">
    <w:abstractNumId w:val="8"/>
    <w:lvlOverride w:ilvl="0">
      <w:startOverride w:val="2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DA"/>
    <w:rsid w:val="00000EB8"/>
    <w:rsid w:val="000019D4"/>
    <w:rsid w:val="0000411E"/>
    <w:rsid w:val="00006ADB"/>
    <w:rsid w:val="0001629D"/>
    <w:rsid w:val="000171C0"/>
    <w:rsid w:val="00020B8C"/>
    <w:rsid w:val="0002177A"/>
    <w:rsid w:val="00021929"/>
    <w:rsid w:val="000220A5"/>
    <w:rsid w:val="00027811"/>
    <w:rsid w:val="000327E0"/>
    <w:rsid w:val="00035E9F"/>
    <w:rsid w:val="00040417"/>
    <w:rsid w:val="000413BF"/>
    <w:rsid w:val="000434E1"/>
    <w:rsid w:val="0004368B"/>
    <w:rsid w:val="00043EED"/>
    <w:rsid w:val="000458BB"/>
    <w:rsid w:val="00054239"/>
    <w:rsid w:val="00054CFF"/>
    <w:rsid w:val="0005555D"/>
    <w:rsid w:val="00055598"/>
    <w:rsid w:val="000627D0"/>
    <w:rsid w:val="00064B53"/>
    <w:rsid w:val="00066AE4"/>
    <w:rsid w:val="000700AB"/>
    <w:rsid w:val="000726FA"/>
    <w:rsid w:val="00075C86"/>
    <w:rsid w:val="000765E7"/>
    <w:rsid w:val="0007764B"/>
    <w:rsid w:val="000909AD"/>
    <w:rsid w:val="00093ADA"/>
    <w:rsid w:val="000A5E3F"/>
    <w:rsid w:val="000A7A44"/>
    <w:rsid w:val="000B465A"/>
    <w:rsid w:val="000B5C35"/>
    <w:rsid w:val="000B74F2"/>
    <w:rsid w:val="000C2CEC"/>
    <w:rsid w:val="000C3014"/>
    <w:rsid w:val="000C7F31"/>
    <w:rsid w:val="000D44E2"/>
    <w:rsid w:val="000E1F04"/>
    <w:rsid w:val="000E2205"/>
    <w:rsid w:val="000E24A4"/>
    <w:rsid w:val="000E2870"/>
    <w:rsid w:val="000E3851"/>
    <w:rsid w:val="000E46A2"/>
    <w:rsid w:val="000F2219"/>
    <w:rsid w:val="000F2DCE"/>
    <w:rsid w:val="000F54DB"/>
    <w:rsid w:val="000F65D1"/>
    <w:rsid w:val="000F6ADF"/>
    <w:rsid w:val="00103E84"/>
    <w:rsid w:val="0010471A"/>
    <w:rsid w:val="001067BD"/>
    <w:rsid w:val="0011362D"/>
    <w:rsid w:val="0011565B"/>
    <w:rsid w:val="00116DBE"/>
    <w:rsid w:val="00117AC7"/>
    <w:rsid w:val="0012004D"/>
    <w:rsid w:val="00122A91"/>
    <w:rsid w:val="00122BAA"/>
    <w:rsid w:val="001342DA"/>
    <w:rsid w:val="0013479C"/>
    <w:rsid w:val="00134883"/>
    <w:rsid w:val="00135788"/>
    <w:rsid w:val="00136E84"/>
    <w:rsid w:val="0013716C"/>
    <w:rsid w:val="001420A0"/>
    <w:rsid w:val="00147F99"/>
    <w:rsid w:val="00151AD2"/>
    <w:rsid w:val="00152B17"/>
    <w:rsid w:val="00157E8E"/>
    <w:rsid w:val="00161F3F"/>
    <w:rsid w:val="00172136"/>
    <w:rsid w:val="0017338E"/>
    <w:rsid w:val="00174851"/>
    <w:rsid w:val="00175F10"/>
    <w:rsid w:val="00176E40"/>
    <w:rsid w:val="00177F28"/>
    <w:rsid w:val="0018017C"/>
    <w:rsid w:val="00180539"/>
    <w:rsid w:val="00182EF4"/>
    <w:rsid w:val="0018464B"/>
    <w:rsid w:val="00186928"/>
    <w:rsid w:val="001877E8"/>
    <w:rsid w:val="001921C7"/>
    <w:rsid w:val="00192548"/>
    <w:rsid w:val="00192810"/>
    <w:rsid w:val="0019390B"/>
    <w:rsid w:val="00194782"/>
    <w:rsid w:val="00195C03"/>
    <w:rsid w:val="001972CB"/>
    <w:rsid w:val="001A4054"/>
    <w:rsid w:val="001A740B"/>
    <w:rsid w:val="001B20FC"/>
    <w:rsid w:val="001B7C22"/>
    <w:rsid w:val="001C0CF9"/>
    <w:rsid w:val="001C2105"/>
    <w:rsid w:val="001E0083"/>
    <w:rsid w:val="001E7438"/>
    <w:rsid w:val="001E7BB6"/>
    <w:rsid w:val="001F31A8"/>
    <w:rsid w:val="0020666F"/>
    <w:rsid w:val="00213739"/>
    <w:rsid w:val="00214D79"/>
    <w:rsid w:val="0022377C"/>
    <w:rsid w:val="00223E7E"/>
    <w:rsid w:val="00226B9F"/>
    <w:rsid w:val="00226CB9"/>
    <w:rsid w:val="00226F20"/>
    <w:rsid w:val="00230B79"/>
    <w:rsid w:val="00241F00"/>
    <w:rsid w:val="00242FD9"/>
    <w:rsid w:val="0024614E"/>
    <w:rsid w:val="00246847"/>
    <w:rsid w:val="00246E7E"/>
    <w:rsid w:val="0025708E"/>
    <w:rsid w:val="00257C40"/>
    <w:rsid w:val="0026168E"/>
    <w:rsid w:val="00261E80"/>
    <w:rsid w:val="00262FE0"/>
    <w:rsid w:val="00264284"/>
    <w:rsid w:val="002645E0"/>
    <w:rsid w:val="00264C3B"/>
    <w:rsid w:val="0026555F"/>
    <w:rsid w:val="002664C9"/>
    <w:rsid w:val="00271E17"/>
    <w:rsid w:val="00275916"/>
    <w:rsid w:val="00276510"/>
    <w:rsid w:val="00277B4C"/>
    <w:rsid w:val="00277B60"/>
    <w:rsid w:val="00282285"/>
    <w:rsid w:val="00296D11"/>
    <w:rsid w:val="002979CC"/>
    <w:rsid w:val="002A11B2"/>
    <w:rsid w:val="002A1CB4"/>
    <w:rsid w:val="002B0D98"/>
    <w:rsid w:val="002B7632"/>
    <w:rsid w:val="002C0CA1"/>
    <w:rsid w:val="002C2D8E"/>
    <w:rsid w:val="002C2E7A"/>
    <w:rsid w:val="002C4BDD"/>
    <w:rsid w:val="002C564B"/>
    <w:rsid w:val="002C67FB"/>
    <w:rsid w:val="002C6DA2"/>
    <w:rsid w:val="002C794B"/>
    <w:rsid w:val="002D28BF"/>
    <w:rsid w:val="002F1D96"/>
    <w:rsid w:val="002F29FF"/>
    <w:rsid w:val="002F76AD"/>
    <w:rsid w:val="002F7C4A"/>
    <w:rsid w:val="00300D97"/>
    <w:rsid w:val="00305626"/>
    <w:rsid w:val="00310059"/>
    <w:rsid w:val="00320E17"/>
    <w:rsid w:val="00323955"/>
    <w:rsid w:val="00325737"/>
    <w:rsid w:val="003268CB"/>
    <w:rsid w:val="003324D2"/>
    <w:rsid w:val="00335430"/>
    <w:rsid w:val="00335A42"/>
    <w:rsid w:val="00337320"/>
    <w:rsid w:val="00337CE6"/>
    <w:rsid w:val="003439BF"/>
    <w:rsid w:val="00344F89"/>
    <w:rsid w:val="003459E2"/>
    <w:rsid w:val="00346BCA"/>
    <w:rsid w:val="00346D04"/>
    <w:rsid w:val="00346D32"/>
    <w:rsid w:val="00350463"/>
    <w:rsid w:val="00354C73"/>
    <w:rsid w:val="003563E3"/>
    <w:rsid w:val="00356529"/>
    <w:rsid w:val="00360FDA"/>
    <w:rsid w:val="00366CE7"/>
    <w:rsid w:val="0037262D"/>
    <w:rsid w:val="00377969"/>
    <w:rsid w:val="00382099"/>
    <w:rsid w:val="0038226E"/>
    <w:rsid w:val="003833E6"/>
    <w:rsid w:val="0038367D"/>
    <w:rsid w:val="00383DF3"/>
    <w:rsid w:val="00385FFD"/>
    <w:rsid w:val="0039097A"/>
    <w:rsid w:val="00391BCD"/>
    <w:rsid w:val="0039255F"/>
    <w:rsid w:val="00394105"/>
    <w:rsid w:val="00394793"/>
    <w:rsid w:val="00395121"/>
    <w:rsid w:val="003977A4"/>
    <w:rsid w:val="003A415D"/>
    <w:rsid w:val="003A4882"/>
    <w:rsid w:val="003A612E"/>
    <w:rsid w:val="003A6DFD"/>
    <w:rsid w:val="003A7A5E"/>
    <w:rsid w:val="003A7C90"/>
    <w:rsid w:val="003A7F7F"/>
    <w:rsid w:val="003B0255"/>
    <w:rsid w:val="003B0FB9"/>
    <w:rsid w:val="003B5930"/>
    <w:rsid w:val="003B7F6A"/>
    <w:rsid w:val="003C29E6"/>
    <w:rsid w:val="003C3B20"/>
    <w:rsid w:val="003C5AF9"/>
    <w:rsid w:val="003C6162"/>
    <w:rsid w:val="003D23EC"/>
    <w:rsid w:val="003D3729"/>
    <w:rsid w:val="003E0FF6"/>
    <w:rsid w:val="003E2D93"/>
    <w:rsid w:val="003F0CB2"/>
    <w:rsid w:val="003F11DA"/>
    <w:rsid w:val="003F266E"/>
    <w:rsid w:val="003F3202"/>
    <w:rsid w:val="003F58FB"/>
    <w:rsid w:val="003F754E"/>
    <w:rsid w:val="00401786"/>
    <w:rsid w:val="00406299"/>
    <w:rsid w:val="004062C0"/>
    <w:rsid w:val="00406DD1"/>
    <w:rsid w:val="004074B9"/>
    <w:rsid w:val="00410A9D"/>
    <w:rsid w:val="00414511"/>
    <w:rsid w:val="00415C19"/>
    <w:rsid w:val="0041797C"/>
    <w:rsid w:val="004225ED"/>
    <w:rsid w:val="004227EC"/>
    <w:rsid w:val="004240DC"/>
    <w:rsid w:val="00426908"/>
    <w:rsid w:val="00426E1E"/>
    <w:rsid w:val="00426EBD"/>
    <w:rsid w:val="00430E66"/>
    <w:rsid w:val="00432E09"/>
    <w:rsid w:val="0043385E"/>
    <w:rsid w:val="00434A69"/>
    <w:rsid w:val="00435E1C"/>
    <w:rsid w:val="004440CB"/>
    <w:rsid w:val="0044460A"/>
    <w:rsid w:val="00445D58"/>
    <w:rsid w:val="0045097D"/>
    <w:rsid w:val="00450F06"/>
    <w:rsid w:val="0045284C"/>
    <w:rsid w:val="00452C9C"/>
    <w:rsid w:val="00461EED"/>
    <w:rsid w:val="00467965"/>
    <w:rsid w:val="004755ED"/>
    <w:rsid w:val="00475AE3"/>
    <w:rsid w:val="00476306"/>
    <w:rsid w:val="00481A11"/>
    <w:rsid w:val="0048317E"/>
    <w:rsid w:val="00487CB5"/>
    <w:rsid w:val="00495613"/>
    <w:rsid w:val="004A122C"/>
    <w:rsid w:val="004A1B24"/>
    <w:rsid w:val="004A335A"/>
    <w:rsid w:val="004A5EB3"/>
    <w:rsid w:val="004B69B2"/>
    <w:rsid w:val="004B6C1F"/>
    <w:rsid w:val="004B7A63"/>
    <w:rsid w:val="004C1B62"/>
    <w:rsid w:val="004C55E5"/>
    <w:rsid w:val="004C70AE"/>
    <w:rsid w:val="004C78C4"/>
    <w:rsid w:val="004C7C90"/>
    <w:rsid w:val="004D0B6A"/>
    <w:rsid w:val="004D1BCB"/>
    <w:rsid w:val="004D4241"/>
    <w:rsid w:val="004D43E6"/>
    <w:rsid w:val="004D4EAE"/>
    <w:rsid w:val="004D4EAF"/>
    <w:rsid w:val="004D68A2"/>
    <w:rsid w:val="004D737B"/>
    <w:rsid w:val="004D7EEB"/>
    <w:rsid w:val="004E045B"/>
    <w:rsid w:val="004E2CF0"/>
    <w:rsid w:val="004E3431"/>
    <w:rsid w:val="004E57A1"/>
    <w:rsid w:val="004E65E8"/>
    <w:rsid w:val="004E7AB1"/>
    <w:rsid w:val="004F3B3A"/>
    <w:rsid w:val="005009A6"/>
    <w:rsid w:val="00500E74"/>
    <w:rsid w:val="00500F3E"/>
    <w:rsid w:val="00501486"/>
    <w:rsid w:val="00504E0D"/>
    <w:rsid w:val="00512824"/>
    <w:rsid w:val="00513C2E"/>
    <w:rsid w:val="0051534F"/>
    <w:rsid w:val="005162BF"/>
    <w:rsid w:val="00522119"/>
    <w:rsid w:val="00522AFB"/>
    <w:rsid w:val="0052328A"/>
    <w:rsid w:val="005233F3"/>
    <w:rsid w:val="00525729"/>
    <w:rsid w:val="00525CC7"/>
    <w:rsid w:val="00526602"/>
    <w:rsid w:val="0053012A"/>
    <w:rsid w:val="0053396F"/>
    <w:rsid w:val="00534196"/>
    <w:rsid w:val="00537344"/>
    <w:rsid w:val="00537C28"/>
    <w:rsid w:val="00540871"/>
    <w:rsid w:val="005435DD"/>
    <w:rsid w:val="00544E77"/>
    <w:rsid w:val="00547D69"/>
    <w:rsid w:val="00553342"/>
    <w:rsid w:val="00553521"/>
    <w:rsid w:val="00554DCA"/>
    <w:rsid w:val="00556F04"/>
    <w:rsid w:val="00560B25"/>
    <w:rsid w:val="0056173D"/>
    <w:rsid w:val="00562746"/>
    <w:rsid w:val="005636CF"/>
    <w:rsid w:val="00564D91"/>
    <w:rsid w:val="00567407"/>
    <w:rsid w:val="005772AC"/>
    <w:rsid w:val="00577788"/>
    <w:rsid w:val="00577A23"/>
    <w:rsid w:val="00581AD8"/>
    <w:rsid w:val="00582D2F"/>
    <w:rsid w:val="00585743"/>
    <w:rsid w:val="00587597"/>
    <w:rsid w:val="00590BF2"/>
    <w:rsid w:val="00595261"/>
    <w:rsid w:val="005A21CB"/>
    <w:rsid w:val="005A2A86"/>
    <w:rsid w:val="005A5039"/>
    <w:rsid w:val="005A7E6B"/>
    <w:rsid w:val="005B4654"/>
    <w:rsid w:val="005B63F1"/>
    <w:rsid w:val="005C290E"/>
    <w:rsid w:val="005D0BB0"/>
    <w:rsid w:val="005D2C60"/>
    <w:rsid w:val="005D4F61"/>
    <w:rsid w:val="005E145A"/>
    <w:rsid w:val="005E70C9"/>
    <w:rsid w:val="005E799C"/>
    <w:rsid w:val="005F01F7"/>
    <w:rsid w:val="005F1E4E"/>
    <w:rsid w:val="005F7652"/>
    <w:rsid w:val="005F781B"/>
    <w:rsid w:val="00600341"/>
    <w:rsid w:val="00600A0D"/>
    <w:rsid w:val="00601CE4"/>
    <w:rsid w:val="00602216"/>
    <w:rsid w:val="00603367"/>
    <w:rsid w:val="00606362"/>
    <w:rsid w:val="00615633"/>
    <w:rsid w:val="00616ED1"/>
    <w:rsid w:val="00617218"/>
    <w:rsid w:val="0061775D"/>
    <w:rsid w:val="00617D91"/>
    <w:rsid w:val="006231DE"/>
    <w:rsid w:val="0062535C"/>
    <w:rsid w:val="006322DA"/>
    <w:rsid w:val="006345D9"/>
    <w:rsid w:val="00641472"/>
    <w:rsid w:val="006431DB"/>
    <w:rsid w:val="00645E62"/>
    <w:rsid w:val="00651C21"/>
    <w:rsid w:val="0065401B"/>
    <w:rsid w:val="0065520A"/>
    <w:rsid w:val="006565D0"/>
    <w:rsid w:val="0065711E"/>
    <w:rsid w:val="00657B55"/>
    <w:rsid w:val="0066733B"/>
    <w:rsid w:val="00667C9D"/>
    <w:rsid w:val="00670769"/>
    <w:rsid w:val="0067088C"/>
    <w:rsid w:val="006719CC"/>
    <w:rsid w:val="0067273B"/>
    <w:rsid w:val="00672881"/>
    <w:rsid w:val="00674E0D"/>
    <w:rsid w:val="00675C4B"/>
    <w:rsid w:val="006776B4"/>
    <w:rsid w:val="0068084D"/>
    <w:rsid w:val="00681541"/>
    <w:rsid w:val="00681C1D"/>
    <w:rsid w:val="00681C3E"/>
    <w:rsid w:val="00682722"/>
    <w:rsid w:val="0068478C"/>
    <w:rsid w:val="00687ADB"/>
    <w:rsid w:val="00690665"/>
    <w:rsid w:val="00692091"/>
    <w:rsid w:val="00696262"/>
    <w:rsid w:val="00696EC3"/>
    <w:rsid w:val="00697BF1"/>
    <w:rsid w:val="006A448A"/>
    <w:rsid w:val="006A4C7D"/>
    <w:rsid w:val="006A4FDA"/>
    <w:rsid w:val="006A7B28"/>
    <w:rsid w:val="006B50D0"/>
    <w:rsid w:val="006B63B2"/>
    <w:rsid w:val="006B6936"/>
    <w:rsid w:val="006C0F7A"/>
    <w:rsid w:val="006C1D48"/>
    <w:rsid w:val="006C4BDE"/>
    <w:rsid w:val="006C6B55"/>
    <w:rsid w:val="006C7C60"/>
    <w:rsid w:val="006D190A"/>
    <w:rsid w:val="006D1AAB"/>
    <w:rsid w:val="006D3E72"/>
    <w:rsid w:val="006D3F11"/>
    <w:rsid w:val="006D5343"/>
    <w:rsid w:val="006D5C01"/>
    <w:rsid w:val="006D684F"/>
    <w:rsid w:val="006E0B77"/>
    <w:rsid w:val="006E1563"/>
    <w:rsid w:val="006E1797"/>
    <w:rsid w:val="006E2484"/>
    <w:rsid w:val="006E30EF"/>
    <w:rsid w:val="006E5E86"/>
    <w:rsid w:val="006E7859"/>
    <w:rsid w:val="006F0B16"/>
    <w:rsid w:val="006F2116"/>
    <w:rsid w:val="006F5565"/>
    <w:rsid w:val="006F5D17"/>
    <w:rsid w:val="006F5EED"/>
    <w:rsid w:val="007001FC"/>
    <w:rsid w:val="007020B5"/>
    <w:rsid w:val="007110DC"/>
    <w:rsid w:val="00714C21"/>
    <w:rsid w:val="007152AB"/>
    <w:rsid w:val="00721674"/>
    <w:rsid w:val="007224DE"/>
    <w:rsid w:val="00723877"/>
    <w:rsid w:val="00724122"/>
    <w:rsid w:val="007261B8"/>
    <w:rsid w:val="00727062"/>
    <w:rsid w:val="00730678"/>
    <w:rsid w:val="00734695"/>
    <w:rsid w:val="00742506"/>
    <w:rsid w:val="007473C6"/>
    <w:rsid w:val="00752A2B"/>
    <w:rsid w:val="007622E8"/>
    <w:rsid w:val="0076697E"/>
    <w:rsid w:val="007765F2"/>
    <w:rsid w:val="00776B35"/>
    <w:rsid w:val="00777B21"/>
    <w:rsid w:val="0078217B"/>
    <w:rsid w:val="00784965"/>
    <w:rsid w:val="00784A4C"/>
    <w:rsid w:val="007854AB"/>
    <w:rsid w:val="00786998"/>
    <w:rsid w:val="00790C28"/>
    <w:rsid w:val="00791149"/>
    <w:rsid w:val="00791450"/>
    <w:rsid w:val="00792A70"/>
    <w:rsid w:val="00793E40"/>
    <w:rsid w:val="007940FF"/>
    <w:rsid w:val="007974CF"/>
    <w:rsid w:val="00797E53"/>
    <w:rsid w:val="007A082E"/>
    <w:rsid w:val="007A0A36"/>
    <w:rsid w:val="007A6BEE"/>
    <w:rsid w:val="007A7E0F"/>
    <w:rsid w:val="007B1A54"/>
    <w:rsid w:val="007B240F"/>
    <w:rsid w:val="007B3BDE"/>
    <w:rsid w:val="007B79AF"/>
    <w:rsid w:val="007C2D52"/>
    <w:rsid w:val="007C4252"/>
    <w:rsid w:val="007C6690"/>
    <w:rsid w:val="007D19CE"/>
    <w:rsid w:val="007D7C88"/>
    <w:rsid w:val="007D7CD0"/>
    <w:rsid w:val="007E2017"/>
    <w:rsid w:val="007E4A95"/>
    <w:rsid w:val="007F1C14"/>
    <w:rsid w:val="007F57B5"/>
    <w:rsid w:val="00801C8E"/>
    <w:rsid w:val="00801E9E"/>
    <w:rsid w:val="00810486"/>
    <w:rsid w:val="0081067E"/>
    <w:rsid w:val="00812CCB"/>
    <w:rsid w:val="00813A2D"/>
    <w:rsid w:val="00813CF6"/>
    <w:rsid w:val="00821163"/>
    <w:rsid w:val="008229E9"/>
    <w:rsid w:val="008250E9"/>
    <w:rsid w:val="00826DC4"/>
    <w:rsid w:val="0084090C"/>
    <w:rsid w:val="00841BBF"/>
    <w:rsid w:val="00846618"/>
    <w:rsid w:val="0085032A"/>
    <w:rsid w:val="00850F84"/>
    <w:rsid w:val="00854589"/>
    <w:rsid w:val="00864A84"/>
    <w:rsid w:val="00873261"/>
    <w:rsid w:val="0087537B"/>
    <w:rsid w:val="00876478"/>
    <w:rsid w:val="00885CB1"/>
    <w:rsid w:val="00886419"/>
    <w:rsid w:val="00886436"/>
    <w:rsid w:val="00887350"/>
    <w:rsid w:val="00890410"/>
    <w:rsid w:val="00891329"/>
    <w:rsid w:val="00894689"/>
    <w:rsid w:val="008954A1"/>
    <w:rsid w:val="008A1A13"/>
    <w:rsid w:val="008A1F3B"/>
    <w:rsid w:val="008A3074"/>
    <w:rsid w:val="008A706D"/>
    <w:rsid w:val="008A7D71"/>
    <w:rsid w:val="008B1164"/>
    <w:rsid w:val="008B3EF4"/>
    <w:rsid w:val="008B44FB"/>
    <w:rsid w:val="008B477D"/>
    <w:rsid w:val="008B4E88"/>
    <w:rsid w:val="008C1B7B"/>
    <w:rsid w:val="008C1CA6"/>
    <w:rsid w:val="008C2CFC"/>
    <w:rsid w:val="008C73ED"/>
    <w:rsid w:val="008D18EC"/>
    <w:rsid w:val="008D1920"/>
    <w:rsid w:val="008D255D"/>
    <w:rsid w:val="008E27AE"/>
    <w:rsid w:val="008E45BE"/>
    <w:rsid w:val="008E4C73"/>
    <w:rsid w:val="008E6B40"/>
    <w:rsid w:val="008F2F91"/>
    <w:rsid w:val="008F677E"/>
    <w:rsid w:val="009010FE"/>
    <w:rsid w:val="00903DF0"/>
    <w:rsid w:val="00910DC3"/>
    <w:rsid w:val="00912CFA"/>
    <w:rsid w:val="00913B79"/>
    <w:rsid w:val="00913D67"/>
    <w:rsid w:val="009276A9"/>
    <w:rsid w:val="00927762"/>
    <w:rsid w:val="00934B42"/>
    <w:rsid w:val="0094158F"/>
    <w:rsid w:val="00944CD6"/>
    <w:rsid w:val="00946DCA"/>
    <w:rsid w:val="00950632"/>
    <w:rsid w:val="00950841"/>
    <w:rsid w:val="009508E8"/>
    <w:rsid w:val="00952193"/>
    <w:rsid w:val="00952EAD"/>
    <w:rsid w:val="00953CBA"/>
    <w:rsid w:val="009542FE"/>
    <w:rsid w:val="00954E5B"/>
    <w:rsid w:val="009560A3"/>
    <w:rsid w:val="0095651C"/>
    <w:rsid w:val="00956AB0"/>
    <w:rsid w:val="00956E3B"/>
    <w:rsid w:val="00956ED0"/>
    <w:rsid w:val="009604B5"/>
    <w:rsid w:val="009646F9"/>
    <w:rsid w:val="00967670"/>
    <w:rsid w:val="009768AB"/>
    <w:rsid w:val="00981573"/>
    <w:rsid w:val="0098523E"/>
    <w:rsid w:val="009857D4"/>
    <w:rsid w:val="00990426"/>
    <w:rsid w:val="009916F4"/>
    <w:rsid w:val="0099643B"/>
    <w:rsid w:val="009A1AE9"/>
    <w:rsid w:val="009A2EEE"/>
    <w:rsid w:val="009A4AAA"/>
    <w:rsid w:val="009A5602"/>
    <w:rsid w:val="009B08BA"/>
    <w:rsid w:val="009B1976"/>
    <w:rsid w:val="009B69B0"/>
    <w:rsid w:val="009C197F"/>
    <w:rsid w:val="009C6952"/>
    <w:rsid w:val="009D1166"/>
    <w:rsid w:val="009D4BCD"/>
    <w:rsid w:val="009D4E1D"/>
    <w:rsid w:val="009D601E"/>
    <w:rsid w:val="009E3F18"/>
    <w:rsid w:val="009E621A"/>
    <w:rsid w:val="009F1CE5"/>
    <w:rsid w:val="009F4BF4"/>
    <w:rsid w:val="00A00EC3"/>
    <w:rsid w:val="00A054A4"/>
    <w:rsid w:val="00A05C05"/>
    <w:rsid w:val="00A071A6"/>
    <w:rsid w:val="00A13CDF"/>
    <w:rsid w:val="00A13DEB"/>
    <w:rsid w:val="00A15C8C"/>
    <w:rsid w:val="00A17053"/>
    <w:rsid w:val="00A27F34"/>
    <w:rsid w:val="00A34205"/>
    <w:rsid w:val="00A34B5A"/>
    <w:rsid w:val="00A41A99"/>
    <w:rsid w:val="00A4274A"/>
    <w:rsid w:val="00A429FB"/>
    <w:rsid w:val="00A45321"/>
    <w:rsid w:val="00A47AA9"/>
    <w:rsid w:val="00A53267"/>
    <w:rsid w:val="00A5384C"/>
    <w:rsid w:val="00A56538"/>
    <w:rsid w:val="00A579DF"/>
    <w:rsid w:val="00A60EDE"/>
    <w:rsid w:val="00A61DB9"/>
    <w:rsid w:val="00A719DA"/>
    <w:rsid w:val="00A734A8"/>
    <w:rsid w:val="00A80D24"/>
    <w:rsid w:val="00A8369D"/>
    <w:rsid w:val="00A84A87"/>
    <w:rsid w:val="00A87E87"/>
    <w:rsid w:val="00A91AFB"/>
    <w:rsid w:val="00A957FB"/>
    <w:rsid w:val="00A969F5"/>
    <w:rsid w:val="00A974B8"/>
    <w:rsid w:val="00A97CDC"/>
    <w:rsid w:val="00AA21FB"/>
    <w:rsid w:val="00AA3110"/>
    <w:rsid w:val="00AA72AA"/>
    <w:rsid w:val="00AA78DC"/>
    <w:rsid w:val="00AB6B1A"/>
    <w:rsid w:val="00AB6C21"/>
    <w:rsid w:val="00AB6F0E"/>
    <w:rsid w:val="00AC5224"/>
    <w:rsid w:val="00AC6FAB"/>
    <w:rsid w:val="00AD038E"/>
    <w:rsid w:val="00AD53A2"/>
    <w:rsid w:val="00AD57C5"/>
    <w:rsid w:val="00AD5D49"/>
    <w:rsid w:val="00AD6766"/>
    <w:rsid w:val="00AD7E93"/>
    <w:rsid w:val="00AE21BE"/>
    <w:rsid w:val="00AE2208"/>
    <w:rsid w:val="00AF1EA2"/>
    <w:rsid w:val="00AF714A"/>
    <w:rsid w:val="00AF78C8"/>
    <w:rsid w:val="00B01423"/>
    <w:rsid w:val="00B029C0"/>
    <w:rsid w:val="00B0458B"/>
    <w:rsid w:val="00B129FD"/>
    <w:rsid w:val="00B13504"/>
    <w:rsid w:val="00B22463"/>
    <w:rsid w:val="00B26C85"/>
    <w:rsid w:val="00B31A85"/>
    <w:rsid w:val="00B35CFD"/>
    <w:rsid w:val="00B41DC9"/>
    <w:rsid w:val="00B429D2"/>
    <w:rsid w:val="00B42FFC"/>
    <w:rsid w:val="00B456BB"/>
    <w:rsid w:val="00B466B7"/>
    <w:rsid w:val="00B50825"/>
    <w:rsid w:val="00B555FA"/>
    <w:rsid w:val="00B55F8E"/>
    <w:rsid w:val="00B6102A"/>
    <w:rsid w:val="00B61585"/>
    <w:rsid w:val="00B61F19"/>
    <w:rsid w:val="00B621F5"/>
    <w:rsid w:val="00B65EBE"/>
    <w:rsid w:val="00B66EEA"/>
    <w:rsid w:val="00B71270"/>
    <w:rsid w:val="00B71CE6"/>
    <w:rsid w:val="00B73603"/>
    <w:rsid w:val="00B75817"/>
    <w:rsid w:val="00B774B4"/>
    <w:rsid w:val="00B82EAA"/>
    <w:rsid w:val="00B87870"/>
    <w:rsid w:val="00BA1E7E"/>
    <w:rsid w:val="00BA39AD"/>
    <w:rsid w:val="00BB4AEB"/>
    <w:rsid w:val="00BC26BB"/>
    <w:rsid w:val="00BC6747"/>
    <w:rsid w:val="00BD0822"/>
    <w:rsid w:val="00BD0998"/>
    <w:rsid w:val="00BD2AE3"/>
    <w:rsid w:val="00BD40A2"/>
    <w:rsid w:val="00BD708C"/>
    <w:rsid w:val="00BE3B8F"/>
    <w:rsid w:val="00BE3BA2"/>
    <w:rsid w:val="00BE7972"/>
    <w:rsid w:val="00BF17C1"/>
    <w:rsid w:val="00BF5F9E"/>
    <w:rsid w:val="00C04E4F"/>
    <w:rsid w:val="00C06129"/>
    <w:rsid w:val="00C10156"/>
    <w:rsid w:val="00C103C9"/>
    <w:rsid w:val="00C11B40"/>
    <w:rsid w:val="00C1570D"/>
    <w:rsid w:val="00C1691E"/>
    <w:rsid w:val="00C16B82"/>
    <w:rsid w:val="00C17287"/>
    <w:rsid w:val="00C22DE2"/>
    <w:rsid w:val="00C23114"/>
    <w:rsid w:val="00C24E35"/>
    <w:rsid w:val="00C25098"/>
    <w:rsid w:val="00C26D36"/>
    <w:rsid w:val="00C3112B"/>
    <w:rsid w:val="00C3231A"/>
    <w:rsid w:val="00C33906"/>
    <w:rsid w:val="00C33995"/>
    <w:rsid w:val="00C43A7C"/>
    <w:rsid w:val="00C458B8"/>
    <w:rsid w:val="00C47712"/>
    <w:rsid w:val="00C62301"/>
    <w:rsid w:val="00C6759F"/>
    <w:rsid w:val="00C67A24"/>
    <w:rsid w:val="00C70257"/>
    <w:rsid w:val="00C73788"/>
    <w:rsid w:val="00C76798"/>
    <w:rsid w:val="00C77622"/>
    <w:rsid w:val="00C810F9"/>
    <w:rsid w:val="00C82C89"/>
    <w:rsid w:val="00C831D1"/>
    <w:rsid w:val="00C9100C"/>
    <w:rsid w:val="00C918CB"/>
    <w:rsid w:val="00C9512D"/>
    <w:rsid w:val="00CA201B"/>
    <w:rsid w:val="00CA5338"/>
    <w:rsid w:val="00CA5EC8"/>
    <w:rsid w:val="00CA5FCD"/>
    <w:rsid w:val="00CA7DF7"/>
    <w:rsid w:val="00CB26B7"/>
    <w:rsid w:val="00CB491F"/>
    <w:rsid w:val="00CC2E41"/>
    <w:rsid w:val="00CC5016"/>
    <w:rsid w:val="00CC6B71"/>
    <w:rsid w:val="00CD27AC"/>
    <w:rsid w:val="00CD69CA"/>
    <w:rsid w:val="00CE5553"/>
    <w:rsid w:val="00CE7CC8"/>
    <w:rsid w:val="00CF026B"/>
    <w:rsid w:val="00CF2320"/>
    <w:rsid w:val="00CF30B4"/>
    <w:rsid w:val="00CF3B8B"/>
    <w:rsid w:val="00CF3F6D"/>
    <w:rsid w:val="00D00AC0"/>
    <w:rsid w:val="00D01CA9"/>
    <w:rsid w:val="00D07614"/>
    <w:rsid w:val="00D10AA0"/>
    <w:rsid w:val="00D150CF"/>
    <w:rsid w:val="00D167BD"/>
    <w:rsid w:val="00D209B7"/>
    <w:rsid w:val="00D21117"/>
    <w:rsid w:val="00D21EDA"/>
    <w:rsid w:val="00D32998"/>
    <w:rsid w:val="00D331CF"/>
    <w:rsid w:val="00D400AC"/>
    <w:rsid w:val="00D4086B"/>
    <w:rsid w:val="00D43F9C"/>
    <w:rsid w:val="00D4453B"/>
    <w:rsid w:val="00D454E4"/>
    <w:rsid w:val="00D47887"/>
    <w:rsid w:val="00D5218B"/>
    <w:rsid w:val="00D54362"/>
    <w:rsid w:val="00D54CD9"/>
    <w:rsid w:val="00D627C6"/>
    <w:rsid w:val="00D65DBB"/>
    <w:rsid w:val="00D76D95"/>
    <w:rsid w:val="00D7781D"/>
    <w:rsid w:val="00D81AB3"/>
    <w:rsid w:val="00D87471"/>
    <w:rsid w:val="00D878E6"/>
    <w:rsid w:val="00D87A11"/>
    <w:rsid w:val="00D9292B"/>
    <w:rsid w:val="00DA065D"/>
    <w:rsid w:val="00DB21AC"/>
    <w:rsid w:val="00DB3882"/>
    <w:rsid w:val="00DB5847"/>
    <w:rsid w:val="00DB7745"/>
    <w:rsid w:val="00DC163F"/>
    <w:rsid w:val="00DC69E3"/>
    <w:rsid w:val="00DC7D02"/>
    <w:rsid w:val="00DD2425"/>
    <w:rsid w:val="00DD35B5"/>
    <w:rsid w:val="00DD3DEB"/>
    <w:rsid w:val="00DD52D0"/>
    <w:rsid w:val="00DD7757"/>
    <w:rsid w:val="00DE0D34"/>
    <w:rsid w:val="00DF0748"/>
    <w:rsid w:val="00DF1DDA"/>
    <w:rsid w:val="00E019A3"/>
    <w:rsid w:val="00E0348A"/>
    <w:rsid w:val="00E05D06"/>
    <w:rsid w:val="00E07437"/>
    <w:rsid w:val="00E136DD"/>
    <w:rsid w:val="00E202DB"/>
    <w:rsid w:val="00E24B2C"/>
    <w:rsid w:val="00E25581"/>
    <w:rsid w:val="00E27421"/>
    <w:rsid w:val="00E27B51"/>
    <w:rsid w:val="00E31DEE"/>
    <w:rsid w:val="00E36DA5"/>
    <w:rsid w:val="00E37977"/>
    <w:rsid w:val="00E40E6A"/>
    <w:rsid w:val="00E41243"/>
    <w:rsid w:val="00E5302A"/>
    <w:rsid w:val="00E53D51"/>
    <w:rsid w:val="00E568AC"/>
    <w:rsid w:val="00E651E9"/>
    <w:rsid w:val="00E65AF3"/>
    <w:rsid w:val="00E66ACD"/>
    <w:rsid w:val="00E67478"/>
    <w:rsid w:val="00E7096A"/>
    <w:rsid w:val="00E70C38"/>
    <w:rsid w:val="00E76499"/>
    <w:rsid w:val="00E76A97"/>
    <w:rsid w:val="00E808D1"/>
    <w:rsid w:val="00E81F61"/>
    <w:rsid w:val="00E820A0"/>
    <w:rsid w:val="00E828B3"/>
    <w:rsid w:val="00E84D33"/>
    <w:rsid w:val="00E85141"/>
    <w:rsid w:val="00EA0B82"/>
    <w:rsid w:val="00EA210A"/>
    <w:rsid w:val="00EA2719"/>
    <w:rsid w:val="00EA4AF3"/>
    <w:rsid w:val="00EA4C73"/>
    <w:rsid w:val="00EB03ED"/>
    <w:rsid w:val="00EB070C"/>
    <w:rsid w:val="00EB103B"/>
    <w:rsid w:val="00EB1EFA"/>
    <w:rsid w:val="00EB234D"/>
    <w:rsid w:val="00EB259E"/>
    <w:rsid w:val="00EB52E1"/>
    <w:rsid w:val="00EB647A"/>
    <w:rsid w:val="00EC030B"/>
    <w:rsid w:val="00EC1011"/>
    <w:rsid w:val="00EC765D"/>
    <w:rsid w:val="00ED0678"/>
    <w:rsid w:val="00ED08E1"/>
    <w:rsid w:val="00ED1FB4"/>
    <w:rsid w:val="00ED5568"/>
    <w:rsid w:val="00EE7BC0"/>
    <w:rsid w:val="00EE7D9B"/>
    <w:rsid w:val="00EF5CAC"/>
    <w:rsid w:val="00EF7397"/>
    <w:rsid w:val="00F0199F"/>
    <w:rsid w:val="00F01D21"/>
    <w:rsid w:val="00F02949"/>
    <w:rsid w:val="00F02E9B"/>
    <w:rsid w:val="00F04C96"/>
    <w:rsid w:val="00F068D8"/>
    <w:rsid w:val="00F2138E"/>
    <w:rsid w:val="00F335E3"/>
    <w:rsid w:val="00F34C9F"/>
    <w:rsid w:val="00F41819"/>
    <w:rsid w:val="00F436DD"/>
    <w:rsid w:val="00F53108"/>
    <w:rsid w:val="00F53456"/>
    <w:rsid w:val="00F560C3"/>
    <w:rsid w:val="00F56E91"/>
    <w:rsid w:val="00F609EB"/>
    <w:rsid w:val="00F61F0A"/>
    <w:rsid w:val="00F626DC"/>
    <w:rsid w:val="00F62DC5"/>
    <w:rsid w:val="00F643D3"/>
    <w:rsid w:val="00F65604"/>
    <w:rsid w:val="00F6659D"/>
    <w:rsid w:val="00F72225"/>
    <w:rsid w:val="00F72E0E"/>
    <w:rsid w:val="00F7424A"/>
    <w:rsid w:val="00F75013"/>
    <w:rsid w:val="00F7559C"/>
    <w:rsid w:val="00F8212F"/>
    <w:rsid w:val="00F830D1"/>
    <w:rsid w:val="00F8326D"/>
    <w:rsid w:val="00F85C5E"/>
    <w:rsid w:val="00F93581"/>
    <w:rsid w:val="00F947ED"/>
    <w:rsid w:val="00F95669"/>
    <w:rsid w:val="00FA147C"/>
    <w:rsid w:val="00FA4074"/>
    <w:rsid w:val="00FA6418"/>
    <w:rsid w:val="00FA6814"/>
    <w:rsid w:val="00FA7EC0"/>
    <w:rsid w:val="00FB04C3"/>
    <w:rsid w:val="00FB310A"/>
    <w:rsid w:val="00FB4291"/>
    <w:rsid w:val="00FC2243"/>
    <w:rsid w:val="00FD2B86"/>
    <w:rsid w:val="00FE148C"/>
    <w:rsid w:val="00FE3064"/>
    <w:rsid w:val="00FE5FAE"/>
    <w:rsid w:val="00FE69C7"/>
    <w:rsid w:val="00FF74E3"/>
    <w:rsid w:val="00FF76B3"/>
    <w:rsid w:val="00FF76E1"/>
    <w:rsid w:val="03107A90"/>
    <w:rsid w:val="03940DD2"/>
    <w:rsid w:val="04C17FF8"/>
    <w:rsid w:val="06C7F668"/>
    <w:rsid w:val="06FC5F83"/>
    <w:rsid w:val="080D5AD1"/>
    <w:rsid w:val="08C2D1E7"/>
    <w:rsid w:val="0BA08205"/>
    <w:rsid w:val="0E128884"/>
    <w:rsid w:val="0F06D987"/>
    <w:rsid w:val="1094221C"/>
    <w:rsid w:val="11D4954F"/>
    <w:rsid w:val="187C8825"/>
    <w:rsid w:val="19D1EC44"/>
    <w:rsid w:val="1C30D67C"/>
    <w:rsid w:val="1CCFC46D"/>
    <w:rsid w:val="1E4A14D7"/>
    <w:rsid w:val="1E924DB6"/>
    <w:rsid w:val="21830F7C"/>
    <w:rsid w:val="225329B3"/>
    <w:rsid w:val="228BD31A"/>
    <w:rsid w:val="230A7095"/>
    <w:rsid w:val="2427A37B"/>
    <w:rsid w:val="2433EBB2"/>
    <w:rsid w:val="24F0C6CC"/>
    <w:rsid w:val="28188DB2"/>
    <w:rsid w:val="29C02C7F"/>
    <w:rsid w:val="2A66CAB4"/>
    <w:rsid w:val="2C8CDAEE"/>
    <w:rsid w:val="2DCE85C1"/>
    <w:rsid w:val="2E5AA244"/>
    <w:rsid w:val="2F30A6AD"/>
    <w:rsid w:val="305062E5"/>
    <w:rsid w:val="31E6A578"/>
    <w:rsid w:val="31F07E98"/>
    <w:rsid w:val="33F7D2E7"/>
    <w:rsid w:val="3AB4F64F"/>
    <w:rsid w:val="3AF6033F"/>
    <w:rsid w:val="3CF47AA8"/>
    <w:rsid w:val="40461A59"/>
    <w:rsid w:val="407C2A65"/>
    <w:rsid w:val="42CF5983"/>
    <w:rsid w:val="42EAA7D6"/>
    <w:rsid w:val="4582CD71"/>
    <w:rsid w:val="45E2ACFF"/>
    <w:rsid w:val="48DB7EA9"/>
    <w:rsid w:val="497F1F8C"/>
    <w:rsid w:val="4A6E29BD"/>
    <w:rsid w:val="4BC542F3"/>
    <w:rsid w:val="554C96F5"/>
    <w:rsid w:val="56B05324"/>
    <w:rsid w:val="59139326"/>
    <w:rsid w:val="5D736E65"/>
    <w:rsid w:val="5FF56CE6"/>
    <w:rsid w:val="6595ACBA"/>
    <w:rsid w:val="66903A66"/>
    <w:rsid w:val="6BBA6ACF"/>
    <w:rsid w:val="71D80126"/>
    <w:rsid w:val="7254998A"/>
    <w:rsid w:val="72C30FB3"/>
    <w:rsid w:val="75B8215F"/>
    <w:rsid w:val="774E1517"/>
    <w:rsid w:val="78C192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E42C5"/>
  <w15:docId w15:val="{2FD2DB35-D777-42A5-B3C2-3F33E310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Calibri"/>
      <w:sz w:val="24"/>
      <w:szCs w:val="24"/>
      <w:lang w:eastAsia="en-US"/>
    </w:rPr>
  </w:style>
  <w:style w:type="paragraph" w:styleId="Ttulo1">
    <w:name w:val="heading 1"/>
    <w:basedOn w:val="Normal"/>
    <w:next w:val="Normal"/>
    <w:link w:val="Ttulo1Char"/>
    <w:uiPriority w:val="9"/>
    <w:rsid w:val="00BC6747"/>
    <w:pPr>
      <w:keepNext/>
      <w:keepLines/>
      <w:spacing w:before="480" w:after="0"/>
      <w:outlineLvl w:val="0"/>
    </w:pPr>
    <w:rPr>
      <w:rFonts w:ascii="Cambria" w:eastAsia="Times New Roman" w:hAnsi="Cambria" w:cs="Times New Roman"/>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bCs w:val="0"/>
      <w:color w:val="000000"/>
      <w:sz w:val="24"/>
      <w:szCs w:val="24"/>
      <w:u w:color="000000"/>
      <w:bdr w:val="nil"/>
      <w:lang w:val="pt-PT" w:eastAsia="pt-BR"/>
    </w:rPr>
  </w:style>
  <w:style w:type="character" w:customStyle="1" w:styleId="TtulosNumeradosChar">
    <w:name w:val="Títulos Numerados Char"/>
    <w:link w:val="TtulosNumerados"/>
    <w:rsid w:val="00BC6747"/>
    <w:rPr>
      <w:rFonts w:ascii="Times New Roman" w:eastAsia="Times New Roman" w:hAnsi="Times New Roman" w:cs="Times New Roman"/>
      <w:b/>
      <w:bCs w:val="0"/>
      <w:color w:val="000000"/>
      <w:sz w:val="24"/>
      <w:szCs w:val="24"/>
      <w:u w:color="000000"/>
      <w:bdr w:val="nil"/>
      <w:lang w:val="pt-PT" w:eastAsia="pt-BR"/>
    </w:rPr>
  </w:style>
  <w:style w:type="character" w:customStyle="1" w:styleId="Ttulo1Char">
    <w:name w:val="Título 1 Char"/>
    <w:link w:val="Ttulo1"/>
    <w:uiPriority w:val="9"/>
    <w:rsid w:val="00BC6747"/>
    <w:rPr>
      <w:rFonts w:ascii="Cambria" w:eastAsia="Times New Roman" w:hAnsi="Cambria" w:cs="Times New Roman"/>
      <w:b/>
      <w:bCs/>
      <w:color w:val="365F91"/>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link w:val="Rodap"/>
    <w:uiPriority w:val="99"/>
    <w:rsid w:val="004D68A2"/>
    <w:rPr>
      <w:rFonts w:cs="Calibr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link w:val="Textodenotaderodap"/>
    <w:uiPriority w:val="99"/>
    <w:semiHidden/>
    <w:rsid w:val="0081067E"/>
    <w:rPr>
      <w:rFonts w:cs="Calibri"/>
      <w:sz w:val="20"/>
      <w:szCs w:val="20"/>
    </w:rPr>
  </w:style>
  <w:style w:type="character" w:styleId="Refdenotaderodap">
    <w:name w:val="footnote reference"/>
    <w:uiPriority w:val="99"/>
    <w:semiHidden/>
    <w:unhideWhenUsed/>
    <w:rsid w:val="0081067E"/>
    <w:rPr>
      <w:vertAlign w:val="superscript"/>
    </w:rPr>
  </w:style>
  <w:style w:type="paragraph" w:customStyle="1" w:styleId="paragraph">
    <w:name w:val="paragraph"/>
    <w:basedOn w:val="Normal"/>
    <w:rsid w:val="00DF1DDA"/>
    <w:pPr>
      <w:spacing w:before="100" w:beforeAutospacing="1" w:after="100" w:afterAutospacing="1" w:line="240" w:lineRule="auto"/>
      <w:ind w:firstLine="0"/>
      <w:jc w:val="left"/>
    </w:pPr>
    <w:rPr>
      <w:rFonts w:ascii="Times New Roman" w:eastAsia="Times New Roman" w:hAnsi="Times New Roman" w:cs="Times New Roman"/>
      <w:lang w:val="en-US"/>
    </w:rPr>
  </w:style>
  <w:style w:type="character" w:customStyle="1" w:styleId="normaltextrun">
    <w:name w:val="normaltextrun"/>
    <w:basedOn w:val="Fontepargpadro"/>
    <w:rsid w:val="00DF1DDA"/>
  </w:style>
  <w:style w:type="character" w:customStyle="1" w:styleId="eop">
    <w:name w:val="eop"/>
    <w:basedOn w:val="Fontepargpadro"/>
    <w:rsid w:val="00DF1DDA"/>
  </w:style>
  <w:style w:type="character" w:styleId="Nmerodepgina">
    <w:name w:val="page number"/>
    <w:uiPriority w:val="99"/>
    <w:semiHidden/>
    <w:unhideWhenUsed/>
    <w:rsid w:val="005233F3"/>
  </w:style>
  <w:style w:type="character" w:styleId="HiperlinkVisitado">
    <w:name w:val="FollowedHyperlink"/>
    <w:uiPriority w:val="99"/>
    <w:semiHidden/>
    <w:unhideWhenUsed/>
    <w:rsid w:val="005233F3"/>
    <w:rPr>
      <w:color w:val="800080"/>
      <w:u w:val="single"/>
    </w:rPr>
  </w:style>
  <w:style w:type="paragraph" w:customStyle="1" w:styleId="textoalinhadoesquerdaespaamentosimples">
    <w:name w:val="texto_alinhado_esquerda_espaçamento_simples"/>
    <w:basedOn w:val="Normal"/>
    <w:rsid w:val="00A13CDF"/>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customStyle="1" w:styleId="textoalinhadodireita">
    <w:name w:val="texto_alinhado_direita"/>
    <w:basedOn w:val="Normal"/>
    <w:rsid w:val="00A13CDF"/>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styleId="NormalWeb">
    <w:name w:val="Normal (Web)"/>
    <w:basedOn w:val="Normal"/>
    <w:uiPriority w:val="99"/>
    <w:unhideWhenUsed/>
    <w:qFormat/>
    <w:rsid w:val="00A13CDF"/>
    <w:pPr>
      <w:spacing w:before="100" w:beforeAutospacing="1" w:after="100" w:afterAutospacing="1" w:line="240" w:lineRule="auto"/>
      <w:ind w:firstLine="0"/>
      <w:jc w:val="left"/>
    </w:pPr>
    <w:rPr>
      <w:rFonts w:ascii="Times New Roman" w:eastAsia="Times New Roman" w:hAnsi="Times New Roman" w:cs="Times New Roman"/>
      <w:lang w:eastAsia="pt-BR"/>
    </w:rPr>
  </w:style>
  <w:style w:type="character" w:styleId="Forte">
    <w:name w:val="Strong"/>
    <w:uiPriority w:val="22"/>
    <w:qFormat/>
    <w:rsid w:val="00A13CDF"/>
    <w:rPr>
      <w:b/>
      <w:bCs/>
    </w:rPr>
  </w:style>
  <w:style w:type="paragraph" w:customStyle="1" w:styleId="textojustificadorecuoprimeiralinha">
    <w:name w:val="texto_justificado_recuo_primeira_linha"/>
    <w:basedOn w:val="Normal"/>
    <w:rsid w:val="00A13CDF"/>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customStyle="1" w:styleId="textojustificado">
    <w:name w:val="texto_justificado"/>
    <w:basedOn w:val="Normal"/>
    <w:rsid w:val="00A13CDF"/>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customStyle="1" w:styleId="textofundocinzanegrito">
    <w:name w:val="texto_fundo_cinza_negrito"/>
    <w:basedOn w:val="Normal"/>
    <w:rsid w:val="00A13CDF"/>
    <w:pPr>
      <w:spacing w:before="100" w:beforeAutospacing="1" w:after="100" w:afterAutospacing="1" w:line="240" w:lineRule="auto"/>
      <w:ind w:firstLine="0"/>
      <w:jc w:val="left"/>
    </w:pPr>
    <w:rPr>
      <w:rFonts w:ascii="Times New Roman" w:eastAsia="Times New Roman" w:hAnsi="Times New Roman" w:cs="Times New Roman"/>
      <w:lang w:eastAsia="pt-BR"/>
    </w:rPr>
  </w:style>
  <w:style w:type="character" w:styleId="nfase">
    <w:name w:val="Emphasis"/>
    <w:uiPriority w:val="20"/>
    <w:qFormat/>
    <w:rsid w:val="00A13CDF"/>
    <w:rPr>
      <w:i/>
      <w:iCs/>
    </w:rPr>
  </w:style>
  <w:style w:type="paragraph" w:styleId="Reviso">
    <w:name w:val="Revision"/>
    <w:hidden/>
    <w:uiPriority w:val="99"/>
    <w:semiHidden/>
    <w:rsid w:val="00F85C5E"/>
    <w:rPr>
      <w:rFonts w:cs="Calibri"/>
      <w:sz w:val="24"/>
      <w:szCs w:val="24"/>
      <w:lang w:eastAsia="en-US"/>
    </w:rPr>
  </w:style>
  <w:style w:type="character" w:styleId="Refdecomentrio">
    <w:name w:val="annotation reference"/>
    <w:basedOn w:val="Fontepargpadro"/>
    <w:uiPriority w:val="99"/>
    <w:semiHidden/>
    <w:unhideWhenUsed/>
    <w:rsid w:val="0044460A"/>
    <w:rPr>
      <w:sz w:val="16"/>
      <w:szCs w:val="16"/>
    </w:rPr>
  </w:style>
  <w:style w:type="paragraph" w:styleId="Textodecomentrio">
    <w:name w:val="annotation text"/>
    <w:basedOn w:val="Normal"/>
    <w:link w:val="TextodecomentrioChar"/>
    <w:uiPriority w:val="99"/>
    <w:unhideWhenUsed/>
    <w:rsid w:val="0044460A"/>
    <w:pPr>
      <w:spacing w:line="240" w:lineRule="auto"/>
    </w:pPr>
    <w:rPr>
      <w:sz w:val="20"/>
      <w:szCs w:val="20"/>
    </w:rPr>
  </w:style>
  <w:style w:type="character" w:customStyle="1" w:styleId="TextodecomentrioChar">
    <w:name w:val="Texto de comentário Char"/>
    <w:basedOn w:val="Fontepargpadro"/>
    <w:link w:val="Textodecomentrio"/>
    <w:uiPriority w:val="99"/>
    <w:rsid w:val="0044460A"/>
    <w:rPr>
      <w:rFonts w:cs="Calibri"/>
      <w:lang w:eastAsia="en-US"/>
    </w:rPr>
  </w:style>
  <w:style w:type="paragraph" w:styleId="Assuntodocomentrio">
    <w:name w:val="annotation subject"/>
    <w:basedOn w:val="Textodecomentrio"/>
    <w:next w:val="Textodecomentrio"/>
    <w:link w:val="AssuntodocomentrioChar"/>
    <w:uiPriority w:val="99"/>
    <w:semiHidden/>
    <w:unhideWhenUsed/>
    <w:rsid w:val="0044460A"/>
    <w:rPr>
      <w:b/>
      <w:bCs/>
    </w:rPr>
  </w:style>
  <w:style w:type="character" w:customStyle="1" w:styleId="AssuntodocomentrioChar">
    <w:name w:val="Assunto do comentário Char"/>
    <w:basedOn w:val="TextodecomentrioChar"/>
    <w:link w:val="Assuntodocomentrio"/>
    <w:uiPriority w:val="99"/>
    <w:semiHidden/>
    <w:rsid w:val="0044460A"/>
    <w:rPr>
      <w:rFonts w:cs="Calibri"/>
      <w:b/>
      <w:bCs/>
      <w:lang w:eastAsia="en-US"/>
    </w:rPr>
  </w:style>
  <w:style w:type="paragraph" w:customStyle="1" w:styleId="Normalalteradora">
    <w:name w:val="Normal alteradora"/>
    <w:basedOn w:val="Normal"/>
    <w:link w:val="NormalalteradoraChar"/>
    <w:qFormat/>
    <w:rsid w:val="003C3B20"/>
    <w:rPr>
      <w:rFonts w:asciiTheme="minorHAnsi" w:eastAsia="Times New Roman" w:hAnsiTheme="minorHAnsi" w:cstheme="minorBidi"/>
      <w:lang w:eastAsia="pt-BR"/>
    </w:rPr>
  </w:style>
  <w:style w:type="character" w:customStyle="1" w:styleId="NormalalteradoraChar">
    <w:name w:val="Normal alteradora Char"/>
    <w:basedOn w:val="Fontepargpadro"/>
    <w:link w:val="Normalalteradora"/>
    <w:rsid w:val="003C3B20"/>
    <w:rPr>
      <w:rFonts w:asciiTheme="minorHAnsi" w:eastAsia="Times New Roman" w:hAnsiTheme="minorHAnsi" w:cstheme="minorBidi"/>
      <w:sz w:val="24"/>
      <w:szCs w:val="24"/>
    </w:rPr>
  </w:style>
  <w:style w:type="character" w:customStyle="1" w:styleId="ui-provider">
    <w:name w:val="ui-provider"/>
    <w:basedOn w:val="Fontepargpadro"/>
    <w:rsid w:val="00F56E91"/>
  </w:style>
  <w:style w:type="character" w:customStyle="1" w:styleId="Mention">
    <w:name w:val="Mention"/>
    <w:basedOn w:val="Fontepargpadro"/>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7882">
      <w:bodyDiv w:val="1"/>
      <w:marLeft w:val="0"/>
      <w:marRight w:val="0"/>
      <w:marTop w:val="0"/>
      <w:marBottom w:val="0"/>
      <w:divBdr>
        <w:top w:val="none" w:sz="0" w:space="0" w:color="auto"/>
        <w:left w:val="none" w:sz="0" w:space="0" w:color="auto"/>
        <w:bottom w:val="none" w:sz="0" w:space="0" w:color="auto"/>
        <w:right w:val="none" w:sz="0" w:space="0" w:color="auto"/>
      </w:divBdr>
    </w:div>
    <w:div w:id="661783493">
      <w:bodyDiv w:val="1"/>
      <w:marLeft w:val="0"/>
      <w:marRight w:val="0"/>
      <w:marTop w:val="0"/>
      <w:marBottom w:val="0"/>
      <w:divBdr>
        <w:top w:val="none" w:sz="0" w:space="0" w:color="auto"/>
        <w:left w:val="none" w:sz="0" w:space="0" w:color="auto"/>
        <w:bottom w:val="none" w:sz="0" w:space="0" w:color="auto"/>
        <w:right w:val="none" w:sz="0" w:space="0" w:color="auto"/>
      </w:divBdr>
      <w:divsChild>
        <w:div w:id="326592740">
          <w:marLeft w:val="0"/>
          <w:marRight w:val="0"/>
          <w:marTop w:val="0"/>
          <w:marBottom w:val="0"/>
          <w:divBdr>
            <w:top w:val="none" w:sz="0" w:space="0" w:color="auto"/>
            <w:left w:val="none" w:sz="0" w:space="0" w:color="auto"/>
            <w:bottom w:val="none" w:sz="0" w:space="0" w:color="auto"/>
            <w:right w:val="none" w:sz="0" w:space="0" w:color="auto"/>
          </w:divBdr>
        </w:div>
      </w:divsChild>
    </w:div>
    <w:div w:id="926810405">
      <w:bodyDiv w:val="1"/>
      <w:marLeft w:val="0"/>
      <w:marRight w:val="0"/>
      <w:marTop w:val="0"/>
      <w:marBottom w:val="0"/>
      <w:divBdr>
        <w:top w:val="none" w:sz="0" w:space="0" w:color="auto"/>
        <w:left w:val="none" w:sz="0" w:space="0" w:color="auto"/>
        <w:bottom w:val="none" w:sz="0" w:space="0" w:color="auto"/>
        <w:right w:val="none" w:sz="0" w:space="0" w:color="auto"/>
      </w:divBdr>
    </w:div>
    <w:div w:id="163155120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6" ma:contentTypeDescription="Create a new document." ma:contentTypeScope="" ma:versionID="71728e5a4c7065b547348831ad60b131">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9f503c888ca7f7a943e648b606a9201b"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e61717-d90c-407f-8ff1-20c07df31b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e42c98-5a55-49ff-bbfe-4906bee2a489}" ma:internalName="TaxCatchAll" ma:showField="CatchAllData" ma:web="53adeefc-49af-490c-b6df-0a140ad55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lcf76f155ced4ddcb4097134ff3c332f xmlns="15cb24ba-756a-4ce4-ac9a-5f0544b55546">
      <Terms xmlns="http://schemas.microsoft.com/office/infopath/2007/PartnerControls"/>
    </lcf76f155ced4ddcb4097134ff3c332f>
    <TaxCatchAll xmlns="53adeefc-49af-490c-b6df-0a140ad55a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5C8E-D4A8-4864-84E9-25B92D8EA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17876-808E-4CA5-9476-45B0D249DE58}">
  <ds:schemaRefs>
    <ds:schemaRef ds:uri="http://schemas.microsoft.com/office/2006/documentManagement/types"/>
    <ds:schemaRef ds:uri="http://schemas.openxmlformats.org/package/2006/metadata/core-properties"/>
    <ds:schemaRef ds:uri="http://purl.org/dc/dcmitype/"/>
    <ds:schemaRef ds:uri="15cb24ba-756a-4ce4-ac9a-5f0544b55546"/>
    <ds:schemaRef ds:uri="http://purl.org/dc/elements/1.1/"/>
    <ds:schemaRef ds:uri="http://schemas.microsoft.com/office/2006/metadata/properties"/>
    <ds:schemaRef ds:uri="http://schemas.microsoft.com/office/infopath/2007/PartnerControls"/>
    <ds:schemaRef ds:uri="53adeefc-49af-490c-b6df-0a140ad55ab3"/>
    <ds:schemaRef ds:uri="http://www.w3.org/XML/1998/namespace"/>
    <ds:schemaRef ds:uri="http://purl.org/dc/terms/"/>
  </ds:schemaRefs>
</ds:datastoreItem>
</file>

<file path=customXml/itemProps3.xml><?xml version="1.0" encoding="utf-8"?>
<ds:datastoreItem xmlns:ds="http://schemas.openxmlformats.org/officeDocument/2006/customXml" ds:itemID="{9F927239-CBF1-42DA-8444-57CCA66DC621}">
  <ds:schemaRefs>
    <ds:schemaRef ds:uri="http://schemas.microsoft.com/sharepoint/v3/contenttype/forms"/>
  </ds:schemaRefs>
</ds:datastoreItem>
</file>

<file path=customXml/itemProps4.xml><?xml version="1.0" encoding="utf-8"?>
<ds:datastoreItem xmlns:ds="http://schemas.openxmlformats.org/officeDocument/2006/customXml" ds:itemID="{A61EB0BF-F4CA-49E3-9AF0-27985033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17</Pages>
  <Words>3337</Words>
  <Characters>18022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Resolução CVM 181</vt:lpstr>
    </vt:vector>
  </TitlesOfParts>
  <Manager/>
  <Company>CVM</Company>
  <LinksUpToDate>false</LinksUpToDate>
  <CharactersWithSpaces>21317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181</dc:title>
  <dc:subject/>
  <dc:creator>CVM</dc:creator>
  <cp:keywords/>
  <dc:description/>
  <cp:lastModifiedBy>Renata Dos Santos Leitão</cp:lastModifiedBy>
  <cp:revision>514</cp:revision>
  <cp:lastPrinted>2023-03-28T20:55:00Z</cp:lastPrinted>
  <dcterms:created xsi:type="dcterms:W3CDTF">2023-03-15T17:22:00Z</dcterms:created>
  <dcterms:modified xsi:type="dcterms:W3CDTF">2023-03-28T22:13:00Z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y fmtid="{D5CDD505-2E9C-101B-9397-08002B2CF9AE}" pid="3" name="MediaServiceImageTags">
    <vt:lpwstr/>
  </property>
</Properties>
</file>