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9B4" w14:textId="478BDA19" w:rsidR="00841BBF" w:rsidRPr="00180539" w:rsidRDefault="00841BBF" w:rsidP="00C1691E">
      <w:pPr>
        <w:pStyle w:val="TtulodaResoluo"/>
      </w:pPr>
      <w:r w:rsidRPr="00180539">
        <w:t xml:space="preserve">Resolução CVM nº </w:t>
      </w:r>
      <w:r w:rsidR="00EE6264">
        <w:t>192</w:t>
      </w:r>
      <w:r w:rsidR="00F85C5E" w:rsidRPr="00180539">
        <w:t xml:space="preserve">, </w:t>
      </w:r>
      <w:r w:rsidR="00D5218B" w:rsidRPr="00180539">
        <w:t xml:space="preserve">de </w:t>
      </w:r>
      <w:r w:rsidR="00EE6264">
        <w:t>18</w:t>
      </w:r>
      <w:r w:rsidR="00D5218B" w:rsidRPr="00180539">
        <w:t xml:space="preserve"> de </w:t>
      </w:r>
      <w:r w:rsidR="0058580A" w:rsidRPr="0058580A">
        <w:t>OUTUBRO</w:t>
      </w:r>
      <w:r w:rsidR="00D5218B" w:rsidRPr="00180539">
        <w:t xml:space="preserve"> de </w:t>
      </w:r>
      <w:r w:rsidR="00956AB0">
        <w:t>202</w:t>
      </w:r>
      <w:r w:rsidR="004D737B">
        <w:t>3</w:t>
      </w:r>
    </w:p>
    <w:p w14:paraId="7CC620BC" w14:textId="11BE1FEE" w:rsidR="00841BBF" w:rsidRPr="00180539" w:rsidRDefault="00601CE4" w:rsidP="0010471A">
      <w:pPr>
        <w:pStyle w:val="Ementa"/>
        <w:spacing w:before="360" w:after="360"/>
      </w:pPr>
      <w:r>
        <w:t xml:space="preserve">Revoga </w:t>
      </w:r>
      <w:r w:rsidR="00AF2EA1" w:rsidRPr="00AF2EA1">
        <w:t>atos normativos como p</w:t>
      </w:r>
      <w:r w:rsidR="007A76D1">
        <w:t xml:space="preserve">arte do processo de revisão e </w:t>
      </w:r>
      <w:r w:rsidR="00AF2EA1" w:rsidRPr="00AF2EA1">
        <w:t>consolidação dos atos normativos, conforme disposto no Decreto nº 10.139, de 28 de novembro de 2019</w:t>
      </w:r>
      <w:r w:rsidR="00956AB0" w:rsidRPr="000E46A2">
        <w:t>.</w:t>
      </w:r>
    </w:p>
    <w:p w14:paraId="57E2BE09" w14:textId="731CA9C0" w:rsidR="006E1797" w:rsidRPr="00180539" w:rsidRDefault="006E1797" w:rsidP="00ED1FB4">
      <w:r w:rsidRPr="00180539">
        <w:t xml:space="preserve">O </w:t>
      </w:r>
      <w:r w:rsidR="00894689" w:rsidRPr="00180539">
        <w:rPr>
          <w:b/>
        </w:rPr>
        <w:t>PRESIDENTE DA COMISSÃO DE VALORES MOBILIÁRIOS – CVM</w:t>
      </w:r>
      <w:r w:rsidR="00894689" w:rsidRPr="00180539">
        <w:t xml:space="preserve"> torna público que o Colegiado, em reunião realizada em </w:t>
      </w:r>
      <w:r w:rsidR="00EE6264">
        <w:t>17</w:t>
      </w:r>
      <w:r w:rsidR="00AF2EA1">
        <w:t xml:space="preserve"> de </w:t>
      </w:r>
      <w:r w:rsidR="00C21624">
        <w:t>outubro</w:t>
      </w:r>
      <w:r w:rsidR="00AF2EA1">
        <w:t xml:space="preserve"> de 2023</w:t>
      </w:r>
      <w:r w:rsidR="00F85C5E" w:rsidRPr="00180539">
        <w:t xml:space="preserve">, </w:t>
      </w:r>
      <w:r w:rsidR="00894689" w:rsidRPr="00180539">
        <w:t>com fundamento no disposto no art. 8º, I, da Lei nº 6.385, de 7 de dezembro de 1976,</w:t>
      </w:r>
      <w:r w:rsidR="00DF1DDA" w:rsidRPr="00180539">
        <w:t xml:space="preserve"> e no</w:t>
      </w:r>
      <w:r w:rsidR="00FE2840">
        <w:t>s</w:t>
      </w:r>
      <w:r w:rsidR="00DF1DDA" w:rsidRPr="00180539">
        <w:t xml:space="preserve"> art</w:t>
      </w:r>
      <w:r w:rsidR="00FE2840">
        <w:t>s</w:t>
      </w:r>
      <w:r w:rsidR="00DF1DDA" w:rsidRPr="00180539">
        <w:t xml:space="preserve">. 5º </w:t>
      </w:r>
      <w:r w:rsidR="00FE2840">
        <w:t>e 8º,</w:t>
      </w:r>
      <w:r w:rsidR="001F4307">
        <w:t xml:space="preserve"> inciso </w:t>
      </w:r>
      <w:r w:rsidR="00926A80">
        <w:t>I,</w:t>
      </w:r>
      <w:r w:rsidR="00FE2840">
        <w:t xml:space="preserve"> </w:t>
      </w:r>
      <w:r w:rsidR="00DF1DDA" w:rsidRPr="00180539">
        <w:t>do Decreto nº 10.139, de 28 de novembro de 2019</w:t>
      </w:r>
      <w:r w:rsidR="00894689" w:rsidRPr="00180539">
        <w:t xml:space="preserve">, </w:t>
      </w:r>
      <w:r w:rsidR="00697BF1">
        <w:rPr>
          <w:b/>
        </w:rPr>
        <w:t>APROVOU</w:t>
      </w:r>
      <w:r w:rsidR="00894689" w:rsidRPr="00180539">
        <w:t xml:space="preserve"> a seguinte Resolução:</w:t>
      </w:r>
    </w:p>
    <w:p w14:paraId="30A15548" w14:textId="77777777" w:rsidR="000E2205" w:rsidRDefault="00DF1DDA" w:rsidP="000E2205">
      <w:pPr>
        <w:pStyle w:val="NormaAlterada"/>
        <w:ind w:left="0" w:firstLine="567"/>
      </w:pPr>
      <w:r>
        <w:t>Art. 1</w:t>
      </w:r>
      <w:r w:rsidR="004D737B">
        <w:t xml:space="preserve">º  </w:t>
      </w:r>
      <w:r>
        <w:t>Ficam revogadas</w:t>
      </w:r>
      <w:r w:rsidR="000E2205">
        <w:t>:</w:t>
      </w:r>
    </w:p>
    <w:p w14:paraId="38518838" w14:textId="77777777" w:rsidR="004D737B" w:rsidRDefault="000E2205" w:rsidP="004D737B">
      <w:pPr>
        <w:pStyle w:val="NormaAlterada"/>
        <w:ind w:left="0" w:firstLine="567"/>
      </w:pPr>
      <w:r w:rsidRPr="00C43A7C">
        <w:t xml:space="preserve">I – </w:t>
      </w:r>
      <w:r w:rsidR="004D737B">
        <w:t>a Instrução CVM nº 158, de 21 de agosto de 1991;</w:t>
      </w:r>
    </w:p>
    <w:p w14:paraId="2AE396C0" w14:textId="77777777" w:rsidR="00DD52D0" w:rsidRDefault="00DD52D0" w:rsidP="004D737B">
      <w:pPr>
        <w:pStyle w:val="NormaAlterada"/>
        <w:ind w:left="0" w:firstLine="567"/>
      </w:pPr>
      <w:r>
        <w:t>II – a Instrução CVM nº 295, de 2 de dezembro de 1998;</w:t>
      </w:r>
    </w:p>
    <w:p w14:paraId="781B0562" w14:textId="77777777" w:rsidR="00DD52D0" w:rsidRDefault="00DD52D0" w:rsidP="004D737B">
      <w:pPr>
        <w:pStyle w:val="NormaAlterada"/>
        <w:ind w:left="0" w:firstLine="567"/>
      </w:pPr>
      <w:r w:rsidRPr="00DD52D0">
        <w:t xml:space="preserve">III </w:t>
      </w:r>
      <w:r>
        <w:t>–</w:t>
      </w:r>
      <w:r w:rsidRPr="00DD52D0">
        <w:t xml:space="preserve"> a Instrução</w:t>
      </w:r>
      <w:r>
        <w:t xml:space="preserve"> CVM nº 337, de 15 de maio de 2000;</w:t>
      </w:r>
    </w:p>
    <w:p w14:paraId="3FAA854D" w14:textId="77777777" w:rsidR="00DD52D0" w:rsidRDefault="00DD52D0" w:rsidP="004D737B">
      <w:pPr>
        <w:pStyle w:val="NormaAlterada"/>
        <w:ind w:left="0" w:firstLine="567"/>
      </w:pPr>
      <w:r>
        <w:t>IV – a Instrução CVM nº 339, de 21 de junho de 2000;</w:t>
      </w:r>
    </w:p>
    <w:p w14:paraId="0BC8A8D4" w14:textId="77777777" w:rsidR="00DD52D0" w:rsidRDefault="00DD52D0" w:rsidP="004D737B">
      <w:pPr>
        <w:pStyle w:val="NormaAlterada"/>
        <w:ind w:left="0" w:firstLine="567"/>
      </w:pPr>
      <w:r>
        <w:t>V – a Instrução CVM nº 347, de 29 de setembro de 2000;</w:t>
      </w:r>
    </w:p>
    <w:p w14:paraId="2C0175EE" w14:textId="77777777" w:rsidR="00DD52D0" w:rsidRDefault="00DD52D0" w:rsidP="004D737B">
      <w:pPr>
        <w:pStyle w:val="NormaAlterada"/>
        <w:ind w:left="0" w:firstLine="567"/>
      </w:pPr>
      <w:r>
        <w:t>VI – a Instrução CVM nº 354, de 24 de julho de 2001;</w:t>
      </w:r>
    </w:p>
    <w:p w14:paraId="4F15E5AE" w14:textId="77777777" w:rsidR="00DD52D0" w:rsidRDefault="00DD52D0" w:rsidP="004D737B">
      <w:pPr>
        <w:pStyle w:val="NormaAlterada"/>
        <w:ind w:left="0" w:firstLine="567"/>
      </w:pPr>
      <w:r>
        <w:t>VII – a Instrução CVM nº 360, de 29 de janeiro de 2002;</w:t>
      </w:r>
    </w:p>
    <w:p w14:paraId="16192339" w14:textId="77777777" w:rsidR="0044460A" w:rsidRDefault="00DD52D0" w:rsidP="004D737B">
      <w:pPr>
        <w:pStyle w:val="NormaAlterada"/>
        <w:ind w:left="0" w:firstLine="567"/>
      </w:pPr>
      <w:r>
        <w:t>VIII – a Instrução CVM nº 397, de 16 de outubro de 2003</w:t>
      </w:r>
      <w:r w:rsidR="0044460A">
        <w:t>;</w:t>
      </w:r>
    </w:p>
    <w:p w14:paraId="0C140DCE" w14:textId="07F94664" w:rsidR="00E42C11" w:rsidRDefault="00E42C11" w:rsidP="004D737B">
      <w:pPr>
        <w:pStyle w:val="NormaAlterada"/>
        <w:ind w:left="0" w:firstLine="567"/>
      </w:pPr>
      <w:r>
        <w:t>IX – a Instrução CVM nº 431, de 29 de maio de 2006;</w:t>
      </w:r>
    </w:p>
    <w:p w14:paraId="5D690178" w14:textId="43BE6316" w:rsidR="00F61F0A" w:rsidRDefault="00F61F0A" w:rsidP="004D737B">
      <w:pPr>
        <w:pStyle w:val="NormaAlterada"/>
        <w:ind w:left="0" w:firstLine="567"/>
      </w:pPr>
      <w:r>
        <w:t>X – a Instrução CVM nº 451, de 3 de abril de 2007;</w:t>
      </w:r>
    </w:p>
    <w:p w14:paraId="5CB95575" w14:textId="4AF244A0" w:rsidR="00296CC9" w:rsidRDefault="00E83A74" w:rsidP="004D737B">
      <w:pPr>
        <w:pStyle w:val="NormaAlterada"/>
        <w:ind w:left="0" w:firstLine="567"/>
      </w:pPr>
      <w:r>
        <w:t>XI</w:t>
      </w:r>
      <w:r w:rsidR="00296CC9">
        <w:t xml:space="preserve"> – a Instrução CVM nº 456, de 22 de junho de 2007;</w:t>
      </w:r>
    </w:p>
    <w:p w14:paraId="206A488A" w14:textId="4E1EECCD" w:rsidR="00F61F0A" w:rsidRDefault="00F61F0A" w:rsidP="004D737B">
      <w:pPr>
        <w:pStyle w:val="NormaAlterada"/>
        <w:ind w:left="0" w:firstLine="567"/>
      </w:pPr>
      <w:r>
        <w:t>X</w:t>
      </w:r>
      <w:r w:rsidR="00E42C11">
        <w:t>I</w:t>
      </w:r>
      <w:r w:rsidR="00E83A74">
        <w:t>I</w:t>
      </w:r>
      <w:r>
        <w:t xml:space="preserve"> – a Instrução CVM nº 478, de 11 de setembro de 20</w:t>
      </w:r>
      <w:r w:rsidR="001F7856">
        <w:t>09</w:t>
      </w:r>
      <w:r>
        <w:t>;</w:t>
      </w:r>
    </w:p>
    <w:p w14:paraId="286D97D9" w14:textId="018AAADC" w:rsidR="005009A6" w:rsidRDefault="005009A6" w:rsidP="004D737B">
      <w:pPr>
        <w:pStyle w:val="NormaAlterada"/>
        <w:ind w:left="0" w:firstLine="567"/>
      </w:pPr>
      <w:r>
        <w:t>XI</w:t>
      </w:r>
      <w:r w:rsidR="00E83A74">
        <w:t>I</w:t>
      </w:r>
      <w:r w:rsidR="00E42C11">
        <w:t>I</w:t>
      </w:r>
      <w:r>
        <w:t xml:space="preserve"> – a Instrução CVM nº 482, de 5 de abril de 2010;</w:t>
      </w:r>
    </w:p>
    <w:p w14:paraId="3827A259" w14:textId="5E009710" w:rsidR="00525D1A" w:rsidRDefault="00E83A74" w:rsidP="00525D1A">
      <w:pPr>
        <w:pStyle w:val="NormaAlterada"/>
        <w:ind w:left="0" w:firstLine="567"/>
      </w:pPr>
      <w:r>
        <w:t>XIV</w:t>
      </w:r>
      <w:r w:rsidR="00525D1A">
        <w:t xml:space="preserve"> – a Instrução CVM nº 486, de 17 de novembro de 2010;</w:t>
      </w:r>
    </w:p>
    <w:p w14:paraId="24378D19" w14:textId="56D30508" w:rsidR="00F86890" w:rsidRDefault="00E83A74" w:rsidP="00525D1A">
      <w:pPr>
        <w:pStyle w:val="NormaAlterada"/>
        <w:ind w:left="0" w:firstLine="567"/>
      </w:pPr>
      <w:r>
        <w:t>XV</w:t>
      </w:r>
      <w:r w:rsidR="00F86890">
        <w:t xml:space="preserve"> – a Instrução CVM nº 488, de 16 de dezembro de 2010;</w:t>
      </w:r>
    </w:p>
    <w:p w14:paraId="454065BB" w14:textId="3644733A" w:rsidR="00F86890" w:rsidRDefault="00E83A74" w:rsidP="00525D1A">
      <w:pPr>
        <w:pStyle w:val="NormaAlterada"/>
        <w:ind w:left="0" w:firstLine="567"/>
      </w:pPr>
      <w:r>
        <w:t>XVI</w:t>
      </w:r>
      <w:r w:rsidR="00F86890">
        <w:t xml:space="preserve"> – a Instrução CVM nº 493, de 24 de março de 2011;</w:t>
      </w:r>
    </w:p>
    <w:p w14:paraId="7B174C64" w14:textId="5E163CCA" w:rsidR="00F86890" w:rsidRDefault="00E83A74" w:rsidP="004D737B">
      <w:pPr>
        <w:pStyle w:val="NormaAlterada"/>
        <w:ind w:left="0" w:firstLine="567"/>
      </w:pPr>
      <w:r>
        <w:lastRenderedPageBreak/>
        <w:t>X</w:t>
      </w:r>
      <w:r w:rsidR="00F86890">
        <w:t>VII – a Instrução CVM nº 500, de 15 de julho de 2011;</w:t>
      </w:r>
    </w:p>
    <w:p w14:paraId="7E92D30E" w14:textId="21AD0448" w:rsidR="00D96DD3" w:rsidRDefault="00E83A74" w:rsidP="00D96DD3">
      <w:pPr>
        <w:pStyle w:val="NormaAlterada"/>
        <w:ind w:left="0" w:firstLine="567"/>
      </w:pPr>
      <w:r>
        <w:t>X</w:t>
      </w:r>
      <w:r w:rsidR="001E4AFE">
        <w:t>VIII</w:t>
      </w:r>
      <w:r w:rsidR="00D96DD3">
        <w:t xml:space="preserve"> – a Instrução CVM nº 507, de 29 de setembro de 2011;</w:t>
      </w:r>
    </w:p>
    <w:p w14:paraId="78CD7E41" w14:textId="0589F575" w:rsidR="00D96DD3" w:rsidRDefault="00E83A74" w:rsidP="00D96DD3">
      <w:pPr>
        <w:pStyle w:val="NormaAlterada"/>
        <w:ind w:left="0" w:firstLine="567"/>
      </w:pPr>
      <w:r>
        <w:t>X</w:t>
      </w:r>
      <w:r w:rsidR="001E4AFE">
        <w:t>I</w:t>
      </w:r>
      <w:r>
        <w:t>X</w:t>
      </w:r>
      <w:r w:rsidR="00D96DD3">
        <w:t xml:space="preserve"> – a Instrução CVM nº 517, de </w:t>
      </w:r>
      <w:r w:rsidR="00837170">
        <w:t>29 de dezembro de 2011</w:t>
      </w:r>
      <w:r w:rsidR="00D96DD3">
        <w:t>;</w:t>
      </w:r>
    </w:p>
    <w:p w14:paraId="02145B97" w14:textId="189A3EEE" w:rsidR="00DD52D0" w:rsidRDefault="00E83A74" w:rsidP="004D737B">
      <w:pPr>
        <w:pStyle w:val="NormaAlterada"/>
        <w:ind w:left="0" w:firstLine="567"/>
      </w:pPr>
      <w:r>
        <w:t>XX</w:t>
      </w:r>
      <w:r w:rsidR="0044460A">
        <w:t xml:space="preserve"> –</w:t>
      </w:r>
      <w:r w:rsidR="00DD52D0">
        <w:t xml:space="preserve"> a Instrução CVM nº 518, de 23 de janeiro de 2012</w:t>
      </w:r>
      <w:r w:rsidR="0044460A">
        <w:t>;</w:t>
      </w:r>
    </w:p>
    <w:p w14:paraId="24CEF99B" w14:textId="706CF77E" w:rsidR="00837170" w:rsidRDefault="00E83A74" w:rsidP="00837170">
      <w:pPr>
        <w:pStyle w:val="NormaAlterada"/>
        <w:ind w:left="0" w:firstLine="567"/>
      </w:pPr>
      <w:r>
        <w:t>XXI</w:t>
      </w:r>
      <w:r w:rsidR="00837170">
        <w:t xml:space="preserve"> – a Instrução CVM nº 525, de 10 de setembro de 2012;</w:t>
      </w:r>
    </w:p>
    <w:p w14:paraId="620A522C" w14:textId="1F5F7E1C" w:rsidR="00F61F0A" w:rsidRDefault="00E83A74" w:rsidP="00F61F0A">
      <w:pPr>
        <w:pStyle w:val="NormaAlterada"/>
        <w:ind w:left="0" w:firstLine="567"/>
      </w:pPr>
      <w:r>
        <w:t>X</w:t>
      </w:r>
      <w:r w:rsidR="00F61F0A">
        <w:t>X</w:t>
      </w:r>
      <w:r>
        <w:t>II</w:t>
      </w:r>
      <w:r w:rsidR="00F61F0A">
        <w:t xml:space="preserve"> – a Instrução CVM nº 528, de 23 de outubro de 2012</w:t>
      </w:r>
      <w:r w:rsidR="006565D0">
        <w:t>;</w:t>
      </w:r>
    </w:p>
    <w:p w14:paraId="40FF432B" w14:textId="5F31F2D5" w:rsidR="006565D0" w:rsidRDefault="00E83A74" w:rsidP="00F61F0A">
      <w:pPr>
        <w:pStyle w:val="NormaAlterada"/>
        <w:ind w:left="0" w:firstLine="567"/>
      </w:pPr>
      <w:r>
        <w:t>X</w:t>
      </w:r>
      <w:r w:rsidR="00556F04">
        <w:t>X</w:t>
      </w:r>
      <w:r w:rsidR="001E4AFE">
        <w:t>II</w:t>
      </w:r>
      <w:r>
        <w:t>I</w:t>
      </w:r>
      <w:r w:rsidR="006565D0">
        <w:t xml:space="preserve"> – a Instrução CVM nº 532, de 27 de março de 2013;</w:t>
      </w:r>
    </w:p>
    <w:p w14:paraId="01574303" w14:textId="1A3DC0FB" w:rsidR="00B16737" w:rsidRDefault="00E83A74" w:rsidP="00B16737">
      <w:pPr>
        <w:pStyle w:val="NormaAlterada"/>
        <w:ind w:left="0" w:firstLine="567"/>
      </w:pPr>
      <w:r>
        <w:t>XX</w:t>
      </w:r>
      <w:r w:rsidR="001E4AFE">
        <w:t>I</w:t>
      </w:r>
      <w:r>
        <w:t>V</w:t>
      </w:r>
      <w:r w:rsidR="00B16737">
        <w:t xml:space="preserve"> – a Instrução CVM nº 533, de </w:t>
      </w:r>
      <w:r w:rsidR="00230A72">
        <w:t>24 de abril de 2013</w:t>
      </w:r>
      <w:r w:rsidR="00B16737">
        <w:t>;</w:t>
      </w:r>
    </w:p>
    <w:p w14:paraId="1BC0A9A8" w14:textId="4E210A5D" w:rsidR="00DD52D0" w:rsidRDefault="00E83A74" w:rsidP="004D737B">
      <w:pPr>
        <w:pStyle w:val="NormaAlterada"/>
        <w:ind w:left="0" w:firstLine="567"/>
      </w:pPr>
      <w:r>
        <w:t>X</w:t>
      </w:r>
      <w:r w:rsidR="0044460A">
        <w:t>X</w:t>
      </w:r>
      <w:r w:rsidR="00F61F0A">
        <w:t>V</w:t>
      </w:r>
      <w:r w:rsidR="0044460A">
        <w:t xml:space="preserve"> – a Instrução CVM nº 537 de 16 de setembro de 2013;</w:t>
      </w:r>
    </w:p>
    <w:p w14:paraId="4D56CFBC" w14:textId="64977FEE" w:rsidR="00230A72" w:rsidRDefault="00E83A74" w:rsidP="00230A72">
      <w:pPr>
        <w:pStyle w:val="NormaAlterada"/>
        <w:ind w:left="0" w:firstLine="567"/>
      </w:pPr>
      <w:r>
        <w:t>XX</w:t>
      </w:r>
      <w:r w:rsidR="00230A72">
        <w:t>VI – a Instrução CVM nº 546, de 3 de fevereiro de 2014;</w:t>
      </w:r>
    </w:p>
    <w:p w14:paraId="27D65CFB" w14:textId="2313A7C0" w:rsidR="00394EE7" w:rsidRDefault="00E83A74" w:rsidP="00394EE7">
      <w:pPr>
        <w:pStyle w:val="NormaAlterada"/>
        <w:ind w:left="0" w:firstLine="567"/>
      </w:pPr>
      <w:r>
        <w:t>XX</w:t>
      </w:r>
      <w:r w:rsidR="00394EE7">
        <w:t>VII – a Instrução CVM nº 548, de 6 de maio de 2014;</w:t>
      </w:r>
    </w:p>
    <w:p w14:paraId="5A8CE560" w14:textId="3A2D4F90" w:rsidR="00394EE7" w:rsidRDefault="00E83A74" w:rsidP="00394EE7">
      <w:pPr>
        <w:pStyle w:val="NormaAlterada"/>
        <w:ind w:left="0" w:firstLine="567"/>
      </w:pPr>
      <w:r>
        <w:t>XX</w:t>
      </w:r>
      <w:r w:rsidR="001E4AFE">
        <w:t>VIII</w:t>
      </w:r>
      <w:r w:rsidR="00394EE7">
        <w:t xml:space="preserve"> – a Instrução CVM nº 551, de 25 de setembro de 2014;</w:t>
      </w:r>
    </w:p>
    <w:p w14:paraId="49394E20" w14:textId="77522126" w:rsidR="00F61F0A" w:rsidRDefault="00E83A74" w:rsidP="00F61F0A">
      <w:pPr>
        <w:pStyle w:val="NormaAlterada"/>
        <w:ind w:left="0" w:firstLine="567"/>
      </w:pPr>
      <w:r>
        <w:t>XX</w:t>
      </w:r>
      <w:r w:rsidR="001E4AFE">
        <w:t>I</w:t>
      </w:r>
      <w:r>
        <w:t>X</w:t>
      </w:r>
      <w:r w:rsidR="00F61F0A">
        <w:t xml:space="preserve"> – a Instrução CVM nº 571, de 25 de novembro de 2015;</w:t>
      </w:r>
    </w:p>
    <w:p w14:paraId="030A2351" w14:textId="24CEA6D8" w:rsidR="00F02B24" w:rsidRDefault="00E83A74" w:rsidP="00F02B24">
      <w:pPr>
        <w:pStyle w:val="NormaAlterada"/>
        <w:ind w:left="0" w:firstLine="567"/>
      </w:pPr>
      <w:r>
        <w:t>XXX</w:t>
      </w:r>
      <w:r w:rsidR="00F02B24">
        <w:t xml:space="preserve"> – a Instrução CVM nº 573, de 9 de dezembro de 2015;</w:t>
      </w:r>
    </w:p>
    <w:p w14:paraId="08BE1609" w14:textId="26E35FA6" w:rsidR="008A5C3F" w:rsidRDefault="00E83A74" w:rsidP="008A5C3F">
      <w:pPr>
        <w:pStyle w:val="NormaAlterada"/>
        <w:ind w:left="0" w:firstLine="567"/>
      </w:pPr>
      <w:r>
        <w:t>XXXI</w:t>
      </w:r>
      <w:r w:rsidR="008A5C3F">
        <w:t xml:space="preserve"> – a Instrução CVM nº 575, de 17 de maio de 2016;</w:t>
      </w:r>
    </w:p>
    <w:p w14:paraId="3676EF07" w14:textId="7BD9191A" w:rsidR="00DD52D0" w:rsidRDefault="00E83A74" w:rsidP="004D737B">
      <w:pPr>
        <w:pStyle w:val="NormaAlterada"/>
        <w:ind w:left="0" w:firstLine="567"/>
      </w:pPr>
      <w:r>
        <w:t>XXXII</w:t>
      </w:r>
      <w:r w:rsidR="00F61F0A">
        <w:t xml:space="preserve"> </w:t>
      </w:r>
      <w:r w:rsidR="006565D0">
        <w:t>–</w:t>
      </w:r>
      <w:r w:rsidR="00F61F0A">
        <w:t xml:space="preserve"> a Instrução CVM nº 580, de 15 de setembro de 2016;</w:t>
      </w:r>
    </w:p>
    <w:p w14:paraId="2829DA61" w14:textId="684F83A9" w:rsidR="002006A5" w:rsidRDefault="00E83A74" w:rsidP="002006A5">
      <w:pPr>
        <w:pStyle w:val="NormaAlterada"/>
        <w:ind w:left="0" w:firstLine="567"/>
      </w:pPr>
      <w:r>
        <w:t>XXX</w:t>
      </w:r>
      <w:r w:rsidR="001E4AFE">
        <w:t>II</w:t>
      </w:r>
      <w:r>
        <w:t>I</w:t>
      </w:r>
      <w:r w:rsidR="002006A5">
        <w:t xml:space="preserve"> – a Instrução CVM nº 584, de 22 de março de 2017;</w:t>
      </w:r>
    </w:p>
    <w:p w14:paraId="2C767574" w14:textId="4D7ADE4F" w:rsidR="00A22E41" w:rsidRDefault="00E83A74" w:rsidP="00A22E41">
      <w:pPr>
        <w:pStyle w:val="NormaAlterada"/>
        <w:ind w:left="0" w:firstLine="567"/>
      </w:pPr>
      <w:r>
        <w:t>XXX</w:t>
      </w:r>
      <w:r w:rsidR="001E4AFE">
        <w:t>I</w:t>
      </w:r>
      <w:r>
        <w:t>V</w:t>
      </w:r>
      <w:r w:rsidR="00A22E41">
        <w:t xml:space="preserve"> – a Instrução CVM nº 585, de 5 de abril de 2017;</w:t>
      </w:r>
    </w:p>
    <w:p w14:paraId="0BBCAB60" w14:textId="7DAF5676" w:rsidR="005009A6" w:rsidRDefault="00E83A74" w:rsidP="004D737B">
      <w:pPr>
        <w:pStyle w:val="NormaAlterada"/>
        <w:ind w:left="0" w:firstLine="567"/>
      </w:pPr>
      <w:r>
        <w:t>XXXV</w:t>
      </w:r>
      <w:r w:rsidR="005009A6">
        <w:t xml:space="preserve"> – a Instrução CVM nº 589, de 18 de agosto de 2017;</w:t>
      </w:r>
    </w:p>
    <w:p w14:paraId="200D2FE7" w14:textId="4A94DDEF" w:rsidR="00A22E41" w:rsidRDefault="00E83A74" w:rsidP="00A22E41">
      <w:pPr>
        <w:pStyle w:val="NormaAlterada"/>
        <w:ind w:left="0" w:firstLine="567"/>
      </w:pPr>
      <w:r>
        <w:t>XXXVI</w:t>
      </w:r>
      <w:r w:rsidR="00A22E41">
        <w:t xml:space="preserve"> – a Instrução CVM nº 590, de 11 de setembro de 2017;</w:t>
      </w:r>
    </w:p>
    <w:p w14:paraId="21FF6CAA" w14:textId="4C12F769" w:rsidR="00A22E41" w:rsidRDefault="00E83A74" w:rsidP="00A22E41">
      <w:pPr>
        <w:pStyle w:val="NormaAlterada"/>
        <w:ind w:left="0" w:firstLine="567"/>
      </w:pPr>
      <w:r>
        <w:t>XXX</w:t>
      </w:r>
      <w:r w:rsidR="00A22E41">
        <w:t>VII – a Instrução CVM nº 595, de 30 de janeiro de 2018;</w:t>
      </w:r>
    </w:p>
    <w:p w14:paraId="63C91CAE" w14:textId="19067B93" w:rsidR="00326A15" w:rsidRDefault="00E83A74" w:rsidP="00326A15">
      <w:pPr>
        <w:pStyle w:val="NormaAlterada"/>
        <w:ind w:left="0" w:firstLine="567"/>
      </w:pPr>
      <w:r>
        <w:t>XXX</w:t>
      </w:r>
      <w:r w:rsidR="001E4AFE">
        <w:t>VIII</w:t>
      </w:r>
      <w:r w:rsidR="00326A15">
        <w:t xml:space="preserve"> – a Instrução CVM nº 601, de 23 de agosto de 2018;</w:t>
      </w:r>
    </w:p>
    <w:p w14:paraId="60072E75" w14:textId="319FEFF8" w:rsidR="00E27B51" w:rsidRDefault="00693204" w:rsidP="00E27B51">
      <w:pPr>
        <w:pStyle w:val="NormaAlterada"/>
        <w:ind w:left="0" w:firstLine="567"/>
      </w:pPr>
      <w:r>
        <w:t>XXX</w:t>
      </w:r>
      <w:r w:rsidR="00661884">
        <w:t>IX</w:t>
      </w:r>
      <w:r>
        <w:t xml:space="preserve"> </w:t>
      </w:r>
      <w:r w:rsidR="006565D0">
        <w:t xml:space="preserve">– </w:t>
      </w:r>
      <w:r w:rsidR="00E27B51" w:rsidRPr="00E27B51">
        <w:t>a Resolução CVM nº 3, de 11 de agosto de 2020;</w:t>
      </w:r>
    </w:p>
    <w:p w14:paraId="39EFE0E6" w14:textId="1B02F681" w:rsidR="00DC1E91" w:rsidRPr="00B41EEC" w:rsidRDefault="00805292" w:rsidP="00E27B51">
      <w:pPr>
        <w:pStyle w:val="NormaAlterada"/>
        <w:ind w:left="0" w:firstLine="567"/>
      </w:pPr>
      <w:r w:rsidRPr="00B41EEC">
        <w:t xml:space="preserve">XL – </w:t>
      </w:r>
      <w:r>
        <w:t>a Deliberação CVM nº 866</w:t>
      </w:r>
      <w:r w:rsidRPr="00B41EEC">
        <w:t>, de 1</w:t>
      </w:r>
      <w:r>
        <w:t>6</w:t>
      </w:r>
      <w:r w:rsidRPr="00B41EEC">
        <w:t xml:space="preserve"> de </w:t>
      </w:r>
      <w:r>
        <w:t>setembro de 2020</w:t>
      </w:r>
      <w:r w:rsidR="003A32DF">
        <w:t>.</w:t>
      </w:r>
    </w:p>
    <w:p w14:paraId="115C2EDE" w14:textId="6410B221" w:rsidR="00967670" w:rsidRPr="00D87A11" w:rsidRDefault="00967670" w:rsidP="004D737B">
      <w:pPr>
        <w:pStyle w:val="NormaAlterada"/>
        <w:ind w:left="0" w:firstLine="567"/>
        <w:rPr>
          <w:color w:val="000000"/>
        </w:rPr>
      </w:pPr>
      <w:r w:rsidRPr="00180539">
        <w:t xml:space="preserve">Art. </w:t>
      </w:r>
      <w:r w:rsidR="0098523E">
        <w:t>2</w:t>
      </w:r>
      <w:r w:rsidRPr="00180539">
        <w:t xml:space="preserve">º  </w:t>
      </w:r>
      <w:r w:rsidRPr="00180539">
        <w:rPr>
          <w:rStyle w:val="normaltextrun"/>
          <w:color w:val="000000"/>
        </w:rPr>
        <w:t xml:space="preserve">Esta </w:t>
      </w:r>
      <w:r w:rsidR="000E2205">
        <w:rPr>
          <w:rStyle w:val="normaltextrun"/>
          <w:color w:val="000000"/>
        </w:rPr>
        <w:t>Resolução</w:t>
      </w:r>
      <w:r w:rsidRPr="00180539">
        <w:rPr>
          <w:rStyle w:val="normaltextrun"/>
          <w:color w:val="000000"/>
        </w:rPr>
        <w:t xml:space="preserve"> entra em vigor em </w:t>
      </w:r>
      <w:r w:rsidR="0008104D">
        <w:rPr>
          <w:rStyle w:val="normaltextrun"/>
          <w:color w:val="000000"/>
        </w:rPr>
        <w:t>1</w:t>
      </w:r>
      <w:r w:rsidR="00E34FEB">
        <w:rPr>
          <w:rStyle w:val="normaltextrun"/>
          <w:color w:val="000000"/>
        </w:rPr>
        <w:t>º</w:t>
      </w:r>
      <w:r w:rsidR="00C03A37">
        <w:rPr>
          <w:rStyle w:val="normaltextrun"/>
          <w:color w:val="000000"/>
        </w:rPr>
        <w:t xml:space="preserve"> de </w:t>
      </w:r>
      <w:r w:rsidR="0008104D">
        <w:rPr>
          <w:rStyle w:val="normaltextrun"/>
          <w:color w:val="000000"/>
        </w:rPr>
        <w:t>novembro</w:t>
      </w:r>
      <w:r w:rsidR="00F85C5E" w:rsidRPr="00180539">
        <w:rPr>
          <w:rStyle w:val="normaltextrun"/>
          <w:color w:val="000000"/>
        </w:rPr>
        <w:t xml:space="preserve"> </w:t>
      </w:r>
      <w:r w:rsidRPr="00180539">
        <w:rPr>
          <w:rStyle w:val="normaltextrun"/>
          <w:color w:val="000000"/>
        </w:rPr>
        <w:t xml:space="preserve">de </w:t>
      </w:r>
      <w:r w:rsidR="00F85C5E">
        <w:t>202</w:t>
      </w:r>
      <w:r w:rsidR="004D737B">
        <w:t>3</w:t>
      </w:r>
      <w:r w:rsidR="00F85C5E" w:rsidRPr="00180539">
        <w:rPr>
          <w:rStyle w:val="normaltextrun"/>
          <w:color w:val="000000"/>
        </w:rPr>
        <w:t>.</w:t>
      </w:r>
    </w:p>
    <w:p w14:paraId="187EACA1" w14:textId="77777777" w:rsidR="00310059" w:rsidRPr="00180539" w:rsidRDefault="00310059" w:rsidP="0065401B"/>
    <w:p w14:paraId="4EB155E2" w14:textId="77777777" w:rsidR="000019D4" w:rsidRPr="00B41EEC" w:rsidRDefault="000019D4" w:rsidP="00B41EEC">
      <w:pPr>
        <w:widowControl w:val="0"/>
        <w:spacing w:before="0" w:after="0"/>
        <w:jc w:val="center"/>
        <w:rPr>
          <w:b/>
          <w:bCs/>
          <w:sz w:val="20"/>
          <w:szCs w:val="20"/>
        </w:rPr>
      </w:pPr>
      <w:r w:rsidRPr="00B41EEC">
        <w:rPr>
          <w:bCs/>
          <w:i/>
          <w:sz w:val="20"/>
          <w:szCs w:val="20"/>
        </w:rPr>
        <w:t>Assinado eletronicamente por</w:t>
      </w:r>
    </w:p>
    <w:p w14:paraId="04389E31" w14:textId="77777777" w:rsidR="0044460A" w:rsidRPr="00893D49" w:rsidRDefault="0044460A" w:rsidP="00B41EEC">
      <w:pPr>
        <w:widowControl w:val="0"/>
        <w:spacing w:before="0" w:after="0"/>
        <w:jc w:val="center"/>
        <w:rPr>
          <w:rFonts w:asciiTheme="minorHAnsi" w:hAnsiTheme="minorHAnsi" w:cstheme="minorBidi"/>
          <w:b/>
          <w:bCs/>
          <w:smallCaps/>
        </w:rPr>
      </w:pPr>
      <w:r w:rsidRPr="234C2EA1">
        <w:rPr>
          <w:rFonts w:asciiTheme="minorHAnsi" w:hAnsiTheme="minorHAnsi" w:cstheme="minorBidi"/>
          <w:b/>
          <w:bCs/>
          <w:smallCaps/>
        </w:rPr>
        <w:t>JOÃO PEDRO BARROSO DO NASCIMENTO</w:t>
      </w:r>
    </w:p>
    <w:p w14:paraId="0B195E2C" w14:textId="77777777" w:rsidR="0044460A" w:rsidRDefault="0044460A" w:rsidP="00B41EEC">
      <w:pPr>
        <w:pStyle w:val="NormalWeb"/>
        <w:spacing w:before="0" w:beforeAutospacing="0" w:after="0" w:afterAutospacing="0" w:line="312" w:lineRule="auto"/>
        <w:ind w:firstLine="567"/>
        <w:jc w:val="center"/>
        <w:rPr>
          <w:rFonts w:asciiTheme="minorHAnsi" w:hAnsiTheme="minorHAnsi" w:cstheme="minorHAnsi"/>
          <w:b/>
        </w:rPr>
      </w:pPr>
      <w:r w:rsidRPr="00893D49">
        <w:rPr>
          <w:rFonts w:asciiTheme="minorHAnsi" w:hAnsiTheme="minorHAnsi" w:cstheme="minorHAnsi"/>
          <w:b/>
        </w:rPr>
        <w:t>Presidente</w:t>
      </w:r>
    </w:p>
    <w:sectPr w:rsidR="0044460A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EC93" w14:textId="77777777" w:rsidR="00547F5A" w:rsidRDefault="00547F5A" w:rsidP="00ED1FB4">
      <w:r>
        <w:separator/>
      </w:r>
    </w:p>
  </w:endnote>
  <w:endnote w:type="continuationSeparator" w:id="0">
    <w:p w14:paraId="76C7A5B6" w14:textId="77777777" w:rsidR="00547F5A" w:rsidRDefault="00547F5A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C413" w14:textId="77777777" w:rsidR="00547F5A" w:rsidRDefault="00547F5A" w:rsidP="00ED1FB4">
      <w:r>
        <w:separator/>
      </w:r>
    </w:p>
  </w:footnote>
  <w:footnote w:type="continuationSeparator" w:id="0">
    <w:p w14:paraId="2EEEB059" w14:textId="77777777" w:rsidR="00547F5A" w:rsidRDefault="00547F5A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2EFC" w14:textId="77777777" w:rsidR="005233F3" w:rsidRDefault="005233F3" w:rsidP="00F41819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3AA2776D" w14:textId="77777777" w:rsidR="005233F3" w:rsidRDefault="005233F3" w:rsidP="005233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1204" w14:textId="72571823" w:rsidR="005233F3" w:rsidRPr="00537C28" w:rsidRDefault="005233F3" w:rsidP="00F41819">
    <w:pPr>
      <w:pStyle w:val="Cabealho"/>
      <w:framePr w:wrap="none" w:vAnchor="text" w:hAnchor="margin" w:xAlign="right" w:y="1"/>
      <w:rPr>
        <w:rStyle w:val="Nmerodepgina"/>
        <w:sz w:val="18"/>
        <w:szCs w:val="18"/>
      </w:rPr>
    </w:pPr>
    <w:r w:rsidRPr="00537C28">
      <w:rPr>
        <w:rStyle w:val="Nmerodepgina"/>
        <w:sz w:val="18"/>
        <w:szCs w:val="18"/>
      </w:rPr>
      <w:fldChar w:fldCharType="begin"/>
    </w:r>
    <w:r w:rsidRPr="00537C28">
      <w:rPr>
        <w:rStyle w:val="Nmerodepgina"/>
        <w:sz w:val="18"/>
        <w:szCs w:val="18"/>
      </w:rPr>
      <w:instrText xml:space="preserve"> PAGE </w:instrText>
    </w:r>
    <w:r w:rsidRPr="00537C28">
      <w:rPr>
        <w:rStyle w:val="Nmerodepgina"/>
        <w:sz w:val="18"/>
        <w:szCs w:val="18"/>
      </w:rPr>
      <w:fldChar w:fldCharType="separate"/>
    </w:r>
    <w:r w:rsidR="00BB3ED1">
      <w:rPr>
        <w:rStyle w:val="Nmerodepgina"/>
        <w:noProof/>
        <w:sz w:val="18"/>
        <w:szCs w:val="18"/>
      </w:rPr>
      <w:t>3</w:t>
    </w:r>
    <w:r w:rsidRPr="00537C28">
      <w:rPr>
        <w:rStyle w:val="Nmerodepgina"/>
        <w:sz w:val="18"/>
        <w:szCs w:val="18"/>
      </w:rPr>
      <w:fldChar w:fldCharType="end"/>
    </w:r>
  </w:p>
  <w:p w14:paraId="5D79E610" w14:textId="77777777" w:rsidR="005D2C60" w:rsidRPr="00537C28" w:rsidRDefault="007854AB" w:rsidP="005233F3">
    <w:pPr>
      <w:pStyle w:val="Rodap"/>
      <w:ind w:right="360"/>
    </w:pPr>
    <w:r w:rsidRPr="00537C28">
      <w:rPr>
        <w:color w:val="2B579A"/>
        <w:shd w:val="clear" w:color="auto" w:fill="E6E6E6"/>
      </w:rPr>
      <w:drawing>
        <wp:inline distT="0" distB="0" distL="0" distR="0" wp14:anchorId="2DB16DC3" wp14:editId="0ACCB067">
          <wp:extent cx="652145" cy="628015"/>
          <wp:effectExtent l="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BE003" w14:textId="77777777" w:rsidR="005D2C60" w:rsidRPr="00537C28" w:rsidRDefault="005D2C60" w:rsidP="004D68A2">
    <w:pPr>
      <w:pStyle w:val="Rodap"/>
      <w:rPr>
        <w:b/>
      </w:rPr>
    </w:pPr>
    <w:r w:rsidRPr="00537C28">
      <w:rPr>
        <w:b/>
      </w:rPr>
      <w:t>COMISSÃO DE VALORES MOBILIÁRIOS</w:t>
    </w:r>
  </w:p>
  <w:p w14:paraId="334D91A8" w14:textId="77777777" w:rsidR="005D2C60" w:rsidRPr="00537C28" w:rsidRDefault="005D2C60" w:rsidP="004D68A2">
    <w:pPr>
      <w:pStyle w:val="Rodap"/>
    </w:pPr>
    <w:r w:rsidRPr="00537C28">
      <w:t>Rua Sete de Setembro, 111/2-5º e 23-34º Andares, Centro, Rio de Janeiro/RJ – CEP: 20050-901 – Brasil - Tel.: (21) 3554-8686</w:t>
    </w:r>
  </w:p>
  <w:p w14:paraId="41D9A735" w14:textId="77777777" w:rsidR="005D2C60" w:rsidRPr="00537C28" w:rsidRDefault="005D2C60" w:rsidP="004D68A2">
    <w:pPr>
      <w:pStyle w:val="Rodap"/>
    </w:pPr>
    <w:r w:rsidRPr="00537C28">
      <w:t>Rua Cincinato Braga, 340/2º, 3º e 4º Andares, Bela Vista, São Paulo/ SP – CEP: 01333-010 – Brasil - Tel.: (11) 2146-2000</w:t>
    </w:r>
  </w:p>
  <w:p w14:paraId="55F0798A" w14:textId="77777777" w:rsidR="005D2C60" w:rsidRPr="00537C28" w:rsidRDefault="005D2C60" w:rsidP="004D68A2">
    <w:pPr>
      <w:pStyle w:val="Rodap"/>
    </w:pPr>
    <w:r w:rsidRPr="00537C28">
      <w:t>SCN Q.02 – Bl. A – Ed. Corporate Financial Center, S.404/4º Andar, Brasília/DF – CEP: 70712-900 – Brasil -Tel.: (61) 3327-2030/2031</w:t>
    </w:r>
  </w:p>
  <w:p w14:paraId="05738272" w14:textId="77777777" w:rsidR="005D2C60" w:rsidRPr="00537C28" w:rsidRDefault="001F7856" w:rsidP="00E25581">
    <w:pPr>
      <w:pStyle w:val="Rodap"/>
      <w:spacing w:after="240"/>
    </w:pPr>
    <w:hyperlink r:id="rId2" w:history="1">
      <w:r w:rsidR="005D2C60" w:rsidRPr="00537C28">
        <w:rPr>
          <w:rStyle w:val="Hyperlink"/>
        </w:rPr>
        <w:t>www.cvm.gov.br</w:t>
      </w:r>
    </w:hyperlink>
  </w:p>
  <w:p w14:paraId="3B6004B0" w14:textId="084ACE85" w:rsidR="00E25581" w:rsidRPr="00AF2EA1" w:rsidRDefault="00E25581" w:rsidP="00E25581">
    <w:pPr>
      <w:pStyle w:val="Rodap"/>
      <w:spacing w:after="240"/>
      <w:jc w:val="both"/>
      <w:rPr>
        <w:rFonts w:asciiTheme="majorHAnsi" w:hAnsiTheme="majorHAnsi" w:cstheme="majorHAnsi"/>
        <w:caps/>
        <w:sz w:val="16"/>
        <w:szCs w:val="16"/>
      </w:rPr>
    </w:pPr>
    <w:r w:rsidRPr="00AF2EA1">
      <w:rPr>
        <w:rFonts w:asciiTheme="majorHAnsi" w:hAnsiTheme="majorHAnsi" w:cstheme="majorHAnsi"/>
        <w:caps/>
        <w:sz w:val="16"/>
        <w:szCs w:val="16"/>
      </w:rPr>
      <w:t xml:space="preserve">RESOLUÇÃO CVM Nº </w:t>
    </w:r>
    <w:r w:rsidR="008656B4">
      <w:rPr>
        <w:rFonts w:asciiTheme="majorHAnsi" w:hAnsiTheme="majorHAnsi" w:cstheme="majorHAnsi"/>
        <w:caps/>
        <w:sz w:val="16"/>
        <w:szCs w:val="16"/>
      </w:rPr>
      <w:t>192</w:t>
    </w:r>
    <w:r w:rsidR="00AF2EA1" w:rsidRPr="00AF2EA1">
      <w:rPr>
        <w:rFonts w:asciiTheme="majorHAnsi" w:hAnsiTheme="majorHAnsi" w:cstheme="majorHAnsi"/>
        <w:caps/>
        <w:sz w:val="16"/>
        <w:szCs w:val="16"/>
      </w:rPr>
      <w:t xml:space="preserve">, DE </w:t>
    </w:r>
    <w:r w:rsidR="008656B4">
      <w:rPr>
        <w:rFonts w:asciiTheme="majorHAnsi" w:hAnsiTheme="majorHAnsi" w:cstheme="majorHAnsi"/>
        <w:caps/>
        <w:sz w:val="16"/>
        <w:szCs w:val="16"/>
      </w:rPr>
      <w:t xml:space="preserve">18 </w:t>
    </w:r>
    <w:r w:rsidR="00AF2EA1" w:rsidRPr="00AF2EA1">
      <w:rPr>
        <w:rFonts w:asciiTheme="majorHAnsi" w:hAnsiTheme="majorHAnsi" w:cstheme="majorHAnsi"/>
        <w:caps/>
        <w:sz w:val="16"/>
        <w:szCs w:val="16"/>
      </w:rPr>
      <w:t xml:space="preserve">DE </w:t>
    </w:r>
    <w:r w:rsidR="008656B4">
      <w:rPr>
        <w:rFonts w:asciiTheme="majorHAnsi" w:hAnsiTheme="majorHAnsi" w:cstheme="majorHAnsi"/>
        <w:caps/>
        <w:sz w:val="16"/>
        <w:szCs w:val="16"/>
      </w:rPr>
      <w:t>outubro</w:t>
    </w:r>
    <w:r w:rsidR="00967670" w:rsidRPr="00AF2EA1">
      <w:rPr>
        <w:rFonts w:asciiTheme="majorHAnsi" w:hAnsiTheme="majorHAnsi" w:cstheme="majorHAnsi"/>
        <w:caps/>
        <w:sz w:val="16"/>
        <w:szCs w:val="16"/>
      </w:rPr>
      <w:t xml:space="preserve"> de </w:t>
    </w:r>
    <w:r w:rsidR="00406299" w:rsidRPr="00AF2EA1">
      <w:rPr>
        <w:rFonts w:asciiTheme="majorHAnsi" w:hAnsiTheme="majorHAnsi" w:cstheme="majorHAnsi"/>
        <w:caps/>
        <w:sz w:val="16"/>
        <w:szCs w:val="16"/>
      </w:rPr>
      <w:t>202</w:t>
    </w:r>
    <w:r w:rsidR="00AF2EA1" w:rsidRPr="00AF2EA1">
      <w:rPr>
        <w:rFonts w:asciiTheme="majorHAnsi" w:hAnsiTheme="majorHAnsi" w:cstheme="majorHAnsi"/>
        <w:caps/>
        <w:sz w:val="16"/>
        <w:szCs w:val="16"/>
      </w:rPr>
      <w:t>3</w:t>
    </w:r>
  </w:p>
  <w:p w14:paraId="6DA0B365" w14:textId="77777777" w:rsidR="005233F3" w:rsidRPr="005233F3" w:rsidRDefault="005233F3" w:rsidP="005233F3">
    <w:pPr>
      <w:pStyle w:val="Rodap"/>
      <w:jc w:val="both"/>
      <w:rPr>
        <w:rFonts w:ascii="Times New Roman" w:hAnsi="Times New Roman" w:cs="Times New Roman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EEFE" w14:textId="77777777" w:rsidR="009B69B0" w:rsidRPr="00537C28" w:rsidRDefault="007854AB" w:rsidP="009B69B0">
    <w:pPr>
      <w:pStyle w:val="Rodap"/>
    </w:pPr>
    <w:r w:rsidRPr="00537C28">
      <w:rPr>
        <w:color w:val="2B579A"/>
        <w:shd w:val="clear" w:color="auto" w:fill="E6E6E6"/>
      </w:rPr>
      <w:drawing>
        <wp:inline distT="0" distB="0" distL="0" distR="0" wp14:anchorId="69981BBC" wp14:editId="0B6CDD9B">
          <wp:extent cx="652145" cy="628015"/>
          <wp:effectExtent l="0" t="0" r="0" b="0"/>
          <wp:docPr id="1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77792" w14:textId="77777777" w:rsidR="009B69B0" w:rsidRPr="00537C28" w:rsidRDefault="009B69B0" w:rsidP="009B69B0">
    <w:pPr>
      <w:pStyle w:val="Rodap"/>
      <w:rPr>
        <w:b/>
      </w:rPr>
    </w:pPr>
    <w:r w:rsidRPr="00537C28">
      <w:rPr>
        <w:b/>
      </w:rPr>
      <w:t>COMISSÃO DE VALORES MOBILIÁRIOS</w:t>
    </w:r>
  </w:p>
  <w:p w14:paraId="6A32C1BA" w14:textId="77777777" w:rsidR="009B69B0" w:rsidRPr="00537C28" w:rsidRDefault="009B69B0" w:rsidP="009B69B0">
    <w:pPr>
      <w:pStyle w:val="Rodap"/>
    </w:pPr>
    <w:r w:rsidRPr="00537C28">
      <w:t>Rua Sete de Setembro, 111/2-5º e 23-34º Andares, Centro, Rio de Janeiro/RJ – CEP: 20050-901 – Brasil - Tel.: (21) 3554-8686</w:t>
    </w:r>
  </w:p>
  <w:p w14:paraId="383EE46C" w14:textId="77777777" w:rsidR="009B69B0" w:rsidRPr="00537C28" w:rsidRDefault="009B69B0" w:rsidP="009B69B0">
    <w:pPr>
      <w:pStyle w:val="Rodap"/>
    </w:pPr>
    <w:r w:rsidRPr="00537C28">
      <w:t>Rua Cincinato Braga, 340/2º, 3º e 4º Andares, Bela Vista, São Paulo/ SP – CEP: 01333-010 – Brasil - Tel.: (11) 2146-2000</w:t>
    </w:r>
  </w:p>
  <w:p w14:paraId="5FCDD3A1" w14:textId="77777777" w:rsidR="009B69B0" w:rsidRPr="00537C28" w:rsidRDefault="009B69B0" w:rsidP="009B69B0">
    <w:pPr>
      <w:pStyle w:val="Rodap"/>
    </w:pPr>
    <w:r w:rsidRPr="00537C28">
      <w:t>SCN Q.02 – Bl. A – Ed. Corporate Financial Center, S.404/4º Andar, Brasília/DF – CEP: 70712-900 – Brasil -Tel.: (61) 3327-2030/2031</w:t>
    </w:r>
  </w:p>
  <w:p w14:paraId="763CC3DE" w14:textId="77777777" w:rsidR="009B69B0" w:rsidRPr="00537C28" w:rsidRDefault="001F7856" w:rsidP="009B69B0">
    <w:pPr>
      <w:pStyle w:val="Rodap"/>
      <w:spacing w:after="240"/>
      <w:rPr>
        <w:rStyle w:val="Hyperlink"/>
      </w:rPr>
    </w:pPr>
    <w:hyperlink r:id="rId2" w:history="1">
      <w:r w:rsidR="009B69B0" w:rsidRPr="00537C28">
        <w:rPr>
          <w:rStyle w:val="Hyperlink"/>
        </w:rPr>
        <w:t>www.cvm.gov.br</w:t>
      </w:r>
    </w:hyperlink>
  </w:p>
  <w:p w14:paraId="14330992" w14:textId="77777777" w:rsidR="005233F3" w:rsidRPr="005233F3" w:rsidRDefault="005233F3" w:rsidP="005233F3">
    <w:pPr>
      <w:pStyle w:val="Rodap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CE5D89"/>
    <w:multiLevelType w:val="multilevel"/>
    <w:tmpl w:val="5734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E3A7E"/>
    <w:multiLevelType w:val="multilevel"/>
    <w:tmpl w:val="6E92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D11EA"/>
    <w:multiLevelType w:val="multilevel"/>
    <w:tmpl w:val="CC2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A7F"/>
    <w:multiLevelType w:val="multilevel"/>
    <w:tmpl w:val="CD98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E73C0"/>
    <w:multiLevelType w:val="multilevel"/>
    <w:tmpl w:val="96B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0" w15:restartNumberingAfterBreak="0">
    <w:nsid w:val="72417C07"/>
    <w:multiLevelType w:val="multilevel"/>
    <w:tmpl w:val="E122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E0314"/>
    <w:multiLevelType w:val="multilevel"/>
    <w:tmpl w:val="8D161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348837">
    <w:abstractNumId w:val="9"/>
  </w:num>
  <w:num w:numId="2" w16cid:durableId="32362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355093">
    <w:abstractNumId w:val="2"/>
  </w:num>
  <w:num w:numId="4" w16cid:durableId="1204319552">
    <w:abstractNumId w:val="1"/>
  </w:num>
  <w:num w:numId="5" w16cid:durableId="1095127378">
    <w:abstractNumId w:val="0"/>
  </w:num>
  <w:num w:numId="6" w16cid:durableId="1226145416">
    <w:abstractNumId w:val="4"/>
  </w:num>
  <w:num w:numId="7" w16cid:durableId="2098556761">
    <w:abstractNumId w:val="11"/>
  </w:num>
  <w:num w:numId="8" w16cid:durableId="227695340">
    <w:abstractNumId w:val="10"/>
    <w:lvlOverride w:ilvl="0">
      <w:startOverride w:val="4"/>
    </w:lvlOverride>
  </w:num>
  <w:num w:numId="9" w16cid:durableId="330370996">
    <w:abstractNumId w:val="10"/>
    <w:lvlOverride w:ilvl="0">
      <w:startOverride w:val="5"/>
    </w:lvlOverride>
  </w:num>
  <w:num w:numId="10" w16cid:durableId="49155425">
    <w:abstractNumId w:val="10"/>
    <w:lvlOverride w:ilvl="0">
      <w:startOverride w:val="6"/>
    </w:lvlOverride>
  </w:num>
  <w:num w:numId="11" w16cid:durableId="186602628">
    <w:abstractNumId w:val="10"/>
    <w:lvlOverride w:ilvl="0">
      <w:startOverride w:val="7"/>
    </w:lvlOverride>
  </w:num>
  <w:num w:numId="12" w16cid:durableId="1844739849">
    <w:abstractNumId w:val="5"/>
    <w:lvlOverride w:ilvl="0">
      <w:startOverride w:val="8"/>
    </w:lvlOverride>
  </w:num>
  <w:num w:numId="13" w16cid:durableId="209345457">
    <w:abstractNumId w:val="5"/>
    <w:lvlOverride w:ilvl="0">
      <w:startOverride w:val="9"/>
    </w:lvlOverride>
  </w:num>
  <w:num w:numId="14" w16cid:durableId="172384912">
    <w:abstractNumId w:val="5"/>
    <w:lvlOverride w:ilvl="0">
      <w:startOverride w:val="10"/>
    </w:lvlOverride>
  </w:num>
  <w:num w:numId="15" w16cid:durableId="1272276504">
    <w:abstractNumId w:val="5"/>
    <w:lvlOverride w:ilvl="0">
      <w:startOverride w:val="11"/>
    </w:lvlOverride>
  </w:num>
  <w:num w:numId="16" w16cid:durableId="771977630">
    <w:abstractNumId w:val="5"/>
    <w:lvlOverride w:ilvl="0">
      <w:startOverride w:val="12"/>
    </w:lvlOverride>
  </w:num>
  <w:num w:numId="17" w16cid:durableId="6173180">
    <w:abstractNumId w:val="5"/>
    <w:lvlOverride w:ilvl="0">
      <w:startOverride w:val="13"/>
    </w:lvlOverride>
  </w:num>
  <w:num w:numId="18" w16cid:durableId="365374682">
    <w:abstractNumId w:val="6"/>
    <w:lvlOverride w:ilvl="0">
      <w:startOverride w:val="14"/>
    </w:lvlOverride>
  </w:num>
  <w:num w:numId="19" w16cid:durableId="279655059">
    <w:abstractNumId w:val="6"/>
    <w:lvlOverride w:ilvl="0">
      <w:startOverride w:val="15"/>
    </w:lvlOverride>
  </w:num>
  <w:num w:numId="20" w16cid:durableId="1302343272">
    <w:abstractNumId w:val="6"/>
    <w:lvlOverride w:ilvl="0">
      <w:startOverride w:val="16"/>
    </w:lvlOverride>
  </w:num>
  <w:num w:numId="21" w16cid:durableId="1540556610">
    <w:abstractNumId w:val="6"/>
    <w:lvlOverride w:ilvl="0">
      <w:startOverride w:val="17"/>
    </w:lvlOverride>
  </w:num>
  <w:num w:numId="22" w16cid:durableId="1922107329">
    <w:abstractNumId w:val="3"/>
    <w:lvlOverride w:ilvl="0">
      <w:startOverride w:val="18"/>
    </w:lvlOverride>
  </w:num>
  <w:num w:numId="23" w16cid:durableId="195124992">
    <w:abstractNumId w:val="3"/>
    <w:lvlOverride w:ilvl="0">
      <w:startOverride w:val="19"/>
    </w:lvlOverride>
  </w:num>
  <w:num w:numId="24" w16cid:durableId="949386962">
    <w:abstractNumId w:val="3"/>
    <w:lvlOverride w:ilvl="0">
      <w:startOverride w:val="20"/>
    </w:lvlOverride>
  </w:num>
  <w:num w:numId="25" w16cid:durableId="529029205">
    <w:abstractNumId w:val="3"/>
    <w:lvlOverride w:ilvl="0">
      <w:startOverride w:val="21"/>
    </w:lvlOverride>
  </w:num>
  <w:num w:numId="26" w16cid:durableId="1107651394">
    <w:abstractNumId w:val="8"/>
    <w:lvlOverride w:ilvl="0">
      <w:startOverride w:val="22"/>
    </w:lvlOverride>
  </w:num>
  <w:num w:numId="27" w16cid:durableId="1470708679">
    <w:abstractNumId w:val="8"/>
    <w:lvlOverride w:ilvl="0">
      <w:startOverride w:val="23"/>
    </w:lvlOverride>
  </w:num>
  <w:num w:numId="28" w16cid:durableId="1292200842">
    <w:abstractNumId w:val="8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DA"/>
    <w:rsid w:val="000019D4"/>
    <w:rsid w:val="00015181"/>
    <w:rsid w:val="000413BF"/>
    <w:rsid w:val="0008104D"/>
    <w:rsid w:val="000C2CEC"/>
    <w:rsid w:val="000C3014"/>
    <w:rsid w:val="000E2205"/>
    <w:rsid w:val="000E46A2"/>
    <w:rsid w:val="0010471A"/>
    <w:rsid w:val="0011362D"/>
    <w:rsid w:val="00113AA9"/>
    <w:rsid w:val="0011565B"/>
    <w:rsid w:val="00147F99"/>
    <w:rsid w:val="0015333C"/>
    <w:rsid w:val="00165C7B"/>
    <w:rsid w:val="0018017C"/>
    <w:rsid w:val="00180539"/>
    <w:rsid w:val="00192F7B"/>
    <w:rsid w:val="001D5C54"/>
    <w:rsid w:val="001E0083"/>
    <w:rsid w:val="001E4AFE"/>
    <w:rsid w:val="001E7BB6"/>
    <w:rsid w:val="001F4307"/>
    <w:rsid w:val="001F7856"/>
    <w:rsid w:val="002006A5"/>
    <w:rsid w:val="00205C29"/>
    <w:rsid w:val="00206D56"/>
    <w:rsid w:val="00230A72"/>
    <w:rsid w:val="00232FBD"/>
    <w:rsid w:val="0024614E"/>
    <w:rsid w:val="00277B60"/>
    <w:rsid w:val="00293661"/>
    <w:rsid w:val="00296CC9"/>
    <w:rsid w:val="002979CC"/>
    <w:rsid w:val="002B51EE"/>
    <w:rsid w:val="002D4C7D"/>
    <w:rsid w:val="002F1D96"/>
    <w:rsid w:val="00310059"/>
    <w:rsid w:val="00326A15"/>
    <w:rsid w:val="003324D2"/>
    <w:rsid w:val="00363E7D"/>
    <w:rsid w:val="0038226E"/>
    <w:rsid w:val="00383301"/>
    <w:rsid w:val="00394EE7"/>
    <w:rsid w:val="003A32DF"/>
    <w:rsid w:val="003A6895"/>
    <w:rsid w:val="003B7ED5"/>
    <w:rsid w:val="003C2BEB"/>
    <w:rsid w:val="003F58FB"/>
    <w:rsid w:val="00406299"/>
    <w:rsid w:val="004070EB"/>
    <w:rsid w:val="00414511"/>
    <w:rsid w:val="00415708"/>
    <w:rsid w:val="0041797C"/>
    <w:rsid w:val="00423628"/>
    <w:rsid w:val="0042710C"/>
    <w:rsid w:val="00430E66"/>
    <w:rsid w:val="00432E09"/>
    <w:rsid w:val="00435E1C"/>
    <w:rsid w:val="0043627D"/>
    <w:rsid w:val="0044460A"/>
    <w:rsid w:val="00450F06"/>
    <w:rsid w:val="0045284C"/>
    <w:rsid w:val="00495613"/>
    <w:rsid w:val="004B69B2"/>
    <w:rsid w:val="004C55E5"/>
    <w:rsid w:val="004C78C4"/>
    <w:rsid w:val="004D68A2"/>
    <w:rsid w:val="004D737B"/>
    <w:rsid w:val="005009A6"/>
    <w:rsid w:val="00505BAF"/>
    <w:rsid w:val="00512824"/>
    <w:rsid w:val="005233F3"/>
    <w:rsid w:val="00525CC7"/>
    <w:rsid w:val="00525D1A"/>
    <w:rsid w:val="00526142"/>
    <w:rsid w:val="00537C28"/>
    <w:rsid w:val="00541F36"/>
    <w:rsid w:val="00547F5A"/>
    <w:rsid w:val="00556F04"/>
    <w:rsid w:val="005636CF"/>
    <w:rsid w:val="00575E49"/>
    <w:rsid w:val="0058580A"/>
    <w:rsid w:val="0059188F"/>
    <w:rsid w:val="005952F8"/>
    <w:rsid w:val="005B4654"/>
    <w:rsid w:val="005C7595"/>
    <w:rsid w:val="005D2C60"/>
    <w:rsid w:val="005E5A46"/>
    <w:rsid w:val="005F01F7"/>
    <w:rsid w:val="00601CE4"/>
    <w:rsid w:val="00631E9E"/>
    <w:rsid w:val="006345D9"/>
    <w:rsid w:val="0065401B"/>
    <w:rsid w:val="006565D0"/>
    <w:rsid w:val="00657B55"/>
    <w:rsid w:val="00661884"/>
    <w:rsid w:val="006719CC"/>
    <w:rsid w:val="0067280C"/>
    <w:rsid w:val="00693204"/>
    <w:rsid w:val="00697BF1"/>
    <w:rsid w:val="006B6936"/>
    <w:rsid w:val="006C0F7A"/>
    <w:rsid w:val="006D5343"/>
    <w:rsid w:val="006E1563"/>
    <w:rsid w:val="006E1797"/>
    <w:rsid w:val="006E2484"/>
    <w:rsid w:val="006F5565"/>
    <w:rsid w:val="00727062"/>
    <w:rsid w:val="0077427F"/>
    <w:rsid w:val="007854AB"/>
    <w:rsid w:val="00793E40"/>
    <w:rsid w:val="00797E53"/>
    <w:rsid w:val="007A76D1"/>
    <w:rsid w:val="007B79AF"/>
    <w:rsid w:val="007D2C7D"/>
    <w:rsid w:val="007F1C14"/>
    <w:rsid w:val="007F50D7"/>
    <w:rsid w:val="00805292"/>
    <w:rsid w:val="0081067E"/>
    <w:rsid w:val="00837170"/>
    <w:rsid w:val="00841BBF"/>
    <w:rsid w:val="008656B4"/>
    <w:rsid w:val="008740CA"/>
    <w:rsid w:val="00894689"/>
    <w:rsid w:val="008A25B8"/>
    <w:rsid w:val="008A5C3F"/>
    <w:rsid w:val="008B1164"/>
    <w:rsid w:val="008B477D"/>
    <w:rsid w:val="009010FE"/>
    <w:rsid w:val="00926A80"/>
    <w:rsid w:val="009508E8"/>
    <w:rsid w:val="00951A0D"/>
    <w:rsid w:val="00956AB0"/>
    <w:rsid w:val="00956E3B"/>
    <w:rsid w:val="00965D73"/>
    <w:rsid w:val="00967670"/>
    <w:rsid w:val="009768AB"/>
    <w:rsid w:val="0098523E"/>
    <w:rsid w:val="0099049E"/>
    <w:rsid w:val="009B69B0"/>
    <w:rsid w:val="009D4E1D"/>
    <w:rsid w:val="009E621A"/>
    <w:rsid w:val="009F152B"/>
    <w:rsid w:val="00A054A4"/>
    <w:rsid w:val="00A13CDF"/>
    <w:rsid w:val="00A22E41"/>
    <w:rsid w:val="00A52404"/>
    <w:rsid w:val="00A555D7"/>
    <w:rsid w:val="00A60EDE"/>
    <w:rsid w:val="00A73B0C"/>
    <w:rsid w:val="00AB6C21"/>
    <w:rsid w:val="00AD6766"/>
    <w:rsid w:val="00AF2EA1"/>
    <w:rsid w:val="00AF714A"/>
    <w:rsid w:val="00B06BB0"/>
    <w:rsid w:val="00B16737"/>
    <w:rsid w:val="00B23D8A"/>
    <w:rsid w:val="00B35CFD"/>
    <w:rsid w:val="00B41EEC"/>
    <w:rsid w:val="00B729E5"/>
    <w:rsid w:val="00B73603"/>
    <w:rsid w:val="00B738D8"/>
    <w:rsid w:val="00B74C54"/>
    <w:rsid w:val="00B75817"/>
    <w:rsid w:val="00BA1E7E"/>
    <w:rsid w:val="00BB3ED1"/>
    <w:rsid w:val="00BC6747"/>
    <w:rsid w:val="00BD0822"/>
    <w:rsid w:val="00BD2AE3"/>
    <w:rsid w:val="00BD40A2"/>
    <w:rsid w:val="00C000C2"/>
    <w:rsid w:val="00C03A37"/>
    <w:rsid w:val="00C04E4F"/>
    <w:rsid w:val="00C1691E"/>
    <w:rsid w:val="00C21624"/>
    <w:rsid w:val="00C3231A"/>
    <w:rsid w:val="00C33906"/>
    <w:rsid w:val="00C35238"/>
    <w:rsid w:val="00C43A7C"/>
    <w:rsid w:val="00C82C89"/>
    <w:rsid w:val="00C9512D"/>
    <w:rsid w:val="00C95210"/>
    <w:rsid w:val="00CB19AE"/>
    <w:rsid w:val="00CC5016"/>
    <w:rsid w:val="00CC6B71"/>
    <w:rsid w:val="00CD27AC"/>
    <w:rsid w:val="00CF30B4"/>
    <w:rsid w:val="00D150CF"/>
    <w:rsid w:val="00D21117"/>
    <w:rsid w:val="00D5218B"/>
    <w:rsid w:val="00D54CD9"/>
    <w:rsid w:val="00D87A11"/>
    <w:rsid w:val="00D96DD3"/>
    <w:rsid w:val="00DC1E91"/>
    <w:rsid w:val="00DD3DEB"/>
    <w:rsid w:val="00DD52D0"/>
    <w:rsid w:val="00DD7A11"/>
    <w:rsid w:val="00DE0FA6"/>
    <w:rsid w:val="00DF1DDA"/>
    <w:rsid w:val="00E11CA1"/>
    <w:rsid w:val="00E136DD"/>
    <w:rsid w:val="00E25581"/>
    <w:rsid w:val="00E27B51"/>
    <w:rsid w:val="00E34FEB"/>
    <w:rsid w:val="00E40BCA"/>
    <w:rsid w:val="00E42C11"/>
    <w:rsid w:val="00E5336A"/>
    <w:rsid w:val="00E6218D"/>
    <w:rsid w:val="00E83A74"/>
    <w:rsid w:val="00E93A18"/>
    <w:rsid w:val="00EA2719"/>
    <w:rsid w:val="00EC01E0"/>
    <w:rsid w:val="00ED1FB4"/>
    <w:rsid w:val="00ED4A0F"/>
    <w:rsid w:val="00ED7A22"/>
    <w:rsid w:val="00EE6264"/>
    <w:rsid w:val="00F02B24"/>
    <w:rsid w:val="00F30073"/>
    <w:rsid w:val="00F41819"/>
    <w:rsid w:val="00F61F0A"/>
    <w:rsid w:val="00F72E0E"/>
    <w:rsid w:val="00F85C5E"/>
    <w:rsid w:val="00F86890"/>
    <w:rsid w:val="00F947ED"/>
    <w:rsid w:val="00FB4560"/>
    <w:rsid w:val="00FB626F"/>
    <w:rsid w:val="00FC2243"/>
    <w:rsid w:val="00FE2840"/>
    <w:rsid w:val="0DA00155"/>
    <w:rsid w:val="12903142"/>
    <w:rsid w:val="18139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E42C5"/>
  <w15:docId w15:val="{9165E71F-B325-4EDC-8454-A5944BC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character" w:styleId="Nmerodepgina">
    <w:name w:val="page number"/>
    <w:uiPriority w:val="99"/>
    <w:semiHidden/>
    <w:unhideWhenUsed/>
    <w:rsid w:val="005233F3"/>
  </w:style>
  <w:style w:type="character" w:styleId="HiperlinkVisitado">
    <w:name w:val="FollowedHyperlink"/>
    <w:uiPriority w:val="99"/>
    <w:semiHidden/>
    <w:unhideWhenUsed/>
    <w:rsid w:val="005233F3"/>
    <w:rPr>
      <w:color w:val="800080"/>
      <w:u w:val="single"/>
    </w:rPr>
  </w:style>
  <w:style w:type="paragraph" w:customStyle="1" w:styleId="textoalinhadoesquerdaespaamentosimples">
    <w:name w:val="texto_alinhado_esquerda_espaçamento_simples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alinhadodireita">
    <w:name w:val="texto_alinhado_direit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uiPriority w:val="22"/>
    <w:qFormat/>
    <w:rsid w:val="00A13CD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justificado">
    <w:name w:val="texto_justificad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fundocinzanegrito">
    <w:name w:val="texto_fundo_cinza_negrito"/>
    <w:basedOn w:val="Normal"/>
    <w:rsid w:val="00A13C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uiPriority w:val="20"/>
    <w:qFormat/>
    <w:rsid w:val="00A13CDF"/>
    <w:rPr>
      <w:i/>
      <w:iCs/>
    </w:rPr>
  </w:style>
  <w:style w:type="paragraph" w:styleId="Reviso">
    <w:name w:val="Revision"/>
    <w:hidden/>
    <w:uiPriority w:val="99"/>
    <w:semiHidden/>
    <w:rsid w:val="00F85C5E"/>
    <w:rPr>
      <w:rFonts w:cs="Calibri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44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46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460A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60A"/>
    <w:rPr>
      <w:rFonts w:cs="Calibri"/>
      <w:b/>
      <w:bCs/>
      <w:lang w:eastAsia="en-US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7" ma:contentTypeDescription="Create a new document." ma:contentTypeScope="" ma:versionID="13dd09f2efa244360efaffc7b8f69032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ba99435b1d68dd29116d5792ee4043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e42c98-5a55-49ff-bbfe-4906bee2a489}" ma:internalName="TaxCatchAll" ma:showField="CatchAllData" ma:web="53adeefc-49af-490c-b6df-0a140ad55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lcf76f155ced4ddcb4097134ff3c332f xmlns="15cb24ba-756a-4ce4-ac9a-5f0544b55546">
      <Terms xmlns="http://schemas.microsoft.com/office/infopath/2007/PartnerControls"/>
    </lcf76f155ced4ddcb4097134ff3c332f>
    <TaxCatchAll xmlns="53adeefc-49af-490c-b6df-0a140ad55a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27809-B2F0-4CF6-AFF0-A8125F17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A6EDC-3C10-4D52-B66E-8FA40B76A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17876-808E-4CA5-9476-45B0D249DE58}">
  <ds:schemaRefs>
    <ds:schemaRef ds:uri="53adeefc-49af-490c-b6df-0a140ad55ab3"/>
    <ds:schemaRef ds:uri="15cb24ba-756a-4ce4-ac9a-5f0544b5554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F927239-CBF1-42DA-8444-57CCA66DC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002/2020</vt:lpstr>
    </vt:vector>
  </TitlesOfParts>
  <Manager/>
  <Company>CVM</Company>
  <LinksUpToDate>false</LinksUpToDate>
  <CharactersWithSpaces>2928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192</dc:title>
  <dc:subject/>
  <dc:creator>CVM</dc:creator>
  <cp:keywords/>
  <dc:description/>
  <cp:lastModifiedBy>Renata Dos Santos Leitão</cp:lastModifiedBy>
  <cp:revision>4</cp:revision>
  <dcterms:created xsi:type="dcterms:W3CDTF">2023-11-01T20:47:00Z</dcterms:created>
  <dcterms:modified xsi:type="dcterms:W3CDTF">2023-11-01T20:48:00Z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